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AB1" w:rsidRPr="001C024B" w:rsidRDefault="00EA0430" w:rsidP="00EA0430">
      <w:pPr>
        <w:spacing w:line="240" w:lineRule="auto"/>
        <w:jc w:val="center"/>
        <w:rPr>
          <w:sz w:val="32"/>
          <w:szCs w:val="32"/>
        </w:rPr>
      </w:pPr>
      <w:r>
        <w:rPr>
          <w:sz w:val="32"/>
          <w:szCs w:val="32"/>
        </w:rPr>
        <w:t>Förderungsübernahmen - Bedingungen</w:t>
      </w:r>
    </w:p>
    <w:p w:rsidR="001C024B" w:rsidRDefault="001C024B" w:rsidP="00EA0430">
      <w:pPr>
        <w:spacing w:line="240" w:lineRule="auto"/>
        <w:jc w:val="center"/>
      </w:pPr>
    </w:p>
    <w:p w:rsidR="00212DF9" w:rsidRPr="00212DF9" w:rsidRDefault="00212DF9" w:rsidP="00212DF9">
      <w:pPr>
        <w:keepNext/>
        <w:tabs>
          <w:tab w:val="left" w:pos="568"/>
        </w:tabs>
        <w:spacing w:after="120" w:line="240" w:lineRule="auto"/>
        <w:ind w:right="-2"/>
        <w:jc w:val="center"/>
        <w:outlineLvl w:val="4"/>
        <w:rPr>
          <w:rFonts w:eastAsia="Times New Roman" w:cs="Times New Roman"/>
          <w:b/>
          <w:sz w:val="24"/>
          <w:szCs w:val="24"/>
          <w:lang w:eastAsia="de-AT"/>
        </w:rPr>
      </w:pPr>
      <w:r w:rsidRPr="00212DF9">
        <w:rPr>
          <w:rFonts w:eastAsia="Times New Roman" w:cs="Times New Roman"/>
          <w:b/>
          <w:sz w:val="24"/>
          <w:szCs w:val="24"/>
          <w:lang w:eastAsia="de-AT"/>
        </w:rPr>
        <w:t>Übernahme von Förderungskrediten</w:t>
      </w:r>
    </w:p>
    <w:p w:rsidR="00212DF9" w:rsidRPr="00212DF9" w:rsidRDefault="00212DF9" w:rsidP="00212DF9">
      <w:pPr>
        <w:numPr>
          <w:ilvl w:val="0"/>
          <w:numId w:val="5"/>
        </w:numPr>
        <w:spacing w:before="240" w:after="240" w:line="240" w:lineRule="auto"/>
        <w:ind w:left="573" w:hanging="573"/>
        <w:rPr>
          <w:rFonts w:cs="Times New Roman"/>
          <w:sz w:val="24"/>
          <w:szCs w:val="24"/>
        </w:rPr>
      </w:pPr>
      <w:r w:rsidRPr="00212DF9">
        <w:rPr>
          <w:rFonts w:cs="Times New Roman"/>
          <w:sz w:val="24"/>
          <w:szCs w:val="24"/>
        </w:rPr>
        <w:t xml:space="preserve">Unter nachstehenden Bedingungen können natürliche Personen beim Kauf oder im Zuge einer Schenkung einer geförderten Wohnung bzw. eines geförderten Eigenheims für den Eigenbedarf (Ausnahme siehe </w:t>
      </w:r>
      <w:proofErr w:type="spellStart"/>
      <w:r w:rsidRPr="00212DF9">
        <w:rPr>
          <w:rFonts w:cs="Times New Roman"/>
          <w:sz w:val="24"/>
          <w:szCs w:val="24"/>
        </w:rPr>
        <w:t>lit</w:t>
      </w:r>
      <w:proofErr w:type="spellEnd"/>
      <w:r w:rsidRPr="00212DF9">
        <w:rPr>
          <w:rFonts w:cs="Times New Roman"/>
          <w:sz w:val="24"/>
          <w:szCs w:val="24"/>
        </w:rPr>
        <w:t>. c) einen noch offenen Neubauförderungs-kredit vom Verkäufer bzw. von der Verkäuferin oder vom Geschenkgeber bzw. von der Geschenkgeberin übernehmen:</w:t>
      </w:r>
    </w:p>
    <w:p w:rsidR="00212DF9" w:rsidRPr="00212DF9" w:rsidRDefault="00212DF9" w:rsidP="00212DF9">
      <w:pPr>
        <w:numPr>
          <w:ilvl w:val="0"/>
          <w:numId w:val="6"/>
        </w:numPr>
        <w:spacing w:after="180" w:line="240" w:lineRule="auto"/>
        <w:ind w:left="1134" w:hanging="567"/>
        <w:rPr>
          <w:rFonts w:cs="Times New Roman"/>
          <w:sz w:val="24"/>
          <w:szCs w:val="24"/>
        </w:rPr>
      </w:pPr>
      <w:r w:rsidRPr="00212DF9">
        <w:rPr>
          <w:rFonts w:cs="Times New Roman"/>
          <w:sz w:val="24"/>
          <w:szCs w:val="24"/>
        </w:rPr>
        <w:t>Einhaltung der personenbezogenen Förderungsvoraussetzungen gemäß § 9 und gegebenenfalls Anpassung des übernehmbaren Förderungsbetrags gemäß Einkommensüberschreitungsklausel gemäß § 9 Abs. 4.</w:t>
      </w:r>
    </w:p>
    <w:p w:rsidR="00212DF9" w:rsidRPr="00212DF9" w:rsidRDefault="00212DF9" w:rsidP="00212DF9">
      <w:pPr>
        <w:numPr>
          <w:ilvl w:val="0"/>
          <w:numId w:val="6"/>
        </w:numPr>
        <w:spacing w:after="180" w:line="240" w:lineRule="auto"/>
        <w:ind w:left="1134" w:hanging="567"/>
        <w:rPr>
          <w:rFonts w:cs="Times New Roman"/>
          <w:sz w:val="24"/>
          <w:szCs w:val="24"/>
        </w:rPr>
      </w:pPr>
      <w:r w:rsidRPr="00212DF9">
        <w:rPr>
          <w:rFonts w:cs="Times New Roman"/>
          <w:sz w:val="24"/>
          <w:szCs w:val="24"/>
        </w:rPr>
        <w:t>Allenfalls bestehende Zahlungsrückstände müssen vor Vertragsdurchführung abgedeckt werden.</w:t>
      </w:r>
    </w:p>
    <w:p w:rsidR="00212DF9" w:rsidRPr="00212DF9" w:rsidRDefault="00212DF9" w:rsidP="00212DF9">
      <w:pPr>
        <w:numPr>
          <w:ilvl w:val="0"/>
          <w:numId w:val="6"/>
        </w:numPr>
        <w:spacing w:after="240" w:line="240" w:lineRule="auto"/>
        <w:ind w:left="1134" w:right="-2" w:hanging="567"/>
        <w:rPr>
          <w:rFonts w:cs="Times New Roman"/>
          <w:sz w:val="24"/>
          <w:szCs w:val="24"/>
        </w:rPr>
      </w:pPr>
      <w:r w:rsidRPr="00212DF9">
        <w:rPr>
          <w:rFonts w:cs="Times New Roman"/>
          <w:sz w:val="24"/>
          <w:szCs w:val="24"/>
        </w:rPr>
        <w:t xml:space="preserve">Behalten sich bei Schenkungsverträgen zwischen Eltern und Kindern bzw. Enkel (gerade Linie) die bisherigen Eigentümer das Wohnrecht vor, kann der Förderungskredit nur solange aufrecht bleiben, als das Wohnrecht tatsächlich ausgeübt wird, der neue Eigentümer bzw. die neue Eigentümerin unter den Bestimmungen der </w:t>
      </w:r>
      <w:proofErr w:type="spellStart"/>
      <w:r w:rsidRPr="00212DF9">
        <w:rPr>
          <w:rFonts w:cs="Times New Roman"/>
          <w:sz w:val="24"/>
          <w:szCs w:val="24"/>
        </w:rPr>
        <w:t>lit</w:t>
      </w:r>
      <w:proofErr w:type="spellEnd"/>
      <w:r w:rsidRPr="00212DF9">
        <w:rPr>
          <w:rFonts w:cs="Times New Roman"/>
          <w:sz w:val="24"/>
          <w:szCs w:val="24"/>
        </w:rPr>
        <w:t xml:space="preserve">. a) bis </w:t>
      </w:r>
      <w:proofErr w:type="spellStart"/>
      <w:r w:rsidRPr="00212DF9">
        <w:rPr>
          <w:rFonts w:cs="Times New Roman"/>
          <w:sz w:val="24"/>
          <w:szCs w:val="24"/>
        </w:rPr>
        <w:t>lit</w:t>
      </w:r>
      <w:proofErr w:type="spellEnd"/>
      <w:r w:rsidRPr="00212DF9">
        <w:rPr>
          <w:rFonts w:cs="Times New Roman"/>
          <w:sz w:val="24"/>
          <w:szCs w:val="24"/>
        </w:rPr>
        <w:t>. b) Eigenbedarf ausübt oder das geförderte Objekt entsprechend den Bestimmungen gemäß § 11 vermietet wird. Gegenüber dem Land ist eine entsprechende Verpflichtungserklärung abzugeben.</w:t>
      </w:r>
    </w:p>
    <w:p w:rsidR="00212DF9" w:rsidRPr="00212DF9" w:rsidRDefault="00212DF9" w:rsidP="00212DF9">
      <w:pPr>
        <w:numPr>
          <w:ilvl w:val="0"/>
          <w:numId w:val="5"/>
        </w:numPr>
        <w:spacing w:before="360" w:after="240" w:line="240" w:lineRule="auto"/>
        <w:ind w:left="573" w:hanging="573"/>
        <w:rPr>
          <w:rFonts w:cs="Times New Roman"/>
          <w:sz w:val="24"/>
          <w:szCs w:val="24"/>
        </w:rPr>
      </w:pPr>
      <w:r w:rsidRPr="00212DF9">
        <w:rPr>
          <w:rFonts w:cs="Times New Roman"/>
          <w:sz w:val="24"/>
          <w:szCs w:val="24"/>
        </w:rPr>
        <w:t xml:space="preserve">Wird im Zuge einer Scheidung eine im gemeinsamen Eigentum stehende Wohnung bzw. ein Eigenheim an einen Partner übertragen und bewohnt der neue </w:t>
      </w:r>
      <w:proofErr w:type="gramStart"/>
      <w:r w:rsidRPr="00212DF9">
        <w:rPr>
          <w:rFonts w:cs="Times New Roman"/>
          <w:sz w:val="24"/>
          <w:szCs w:val="24"/>
        </w:rPr>
        <w:t>Alleineigen-</w:t>
      </w:r>
      <w:proofErr w:type="spellStart"/>
      <w:r w:rsidRPr="00212DF9">
        <w:rPr>
          <w:rFonts w:cs="Times New Roman"/>
          <w:sz w:val="24"/>
          <w:szCs w:val="24"/>
        </w:rPr>
        <w:t>tümer</w:t>
      </w:r>
      <w:proofErr w:type="spellEnd"/>
      <w:proofErr w:type="gramEnd"/>
      <w:r w:rsidRPr="00212DF9">
        <w:rPr>
          <w:rFonts w:cs="Times New Roman"/>
          <w:sz w:val="24"/>
          <w:szCs w:val="24"/>
        </w:rPr>
        <w:t xml:space="preserve"> das geförderte Objekt weiterhin, werden keine personenbezogenen Förderungsvoraussetzungen geprüft. Beim Verkauf an Dritte ist Abs. 1 zu beachten. Einem Antrag auf Entlassung aus der Haftung als Personalschuldner jenes Partners, der sein Eigentum abgibt, kann nur dann entsprochen werden, wenn keine Zahlungsrück-stände bestehen und die weitere Nutzung des geförderten Objekts durch den verbleibenden Personalschuldner gegeben ist.</w:t>
      </w:r>
    </w:p>
    <w:p w:rsidR="00212DF9" w:rsidRPr="00212DF9" w:rsidRDefault="00212DF9" w:rsidP="00212DF9">
      <w:pPr>
        <w:numPr>
          <w:ilvl w:val="0"/>
          <w:numId w:val="5"/>
        </w:numPr>
        <w:spacing w:before="360" w:after="240" w:line="240" w:lineRule="auto"/>
        <w:ind w:left="573" w:hanging="573"/>
        <w:rPr>
          <w:rFonts w:cs="Times New Roman"/>
          <w:sz w:val="24"/>
          <w:szCs w:val="24"/>
        </w:rPr>
      </w:pPr>
      <w:r w:rsidRPr="00212DF9">
        <w:rPr>
          <w:rFonts w:cs="Times New Roman"/>
          <w:sz w:val="24"/>
          <w:szCs w:val="24"/>
        </w:rPr>
        <w:t xml:space="preserve">Nach einer Verlassenschaft kann ein Neubauförderungskredit nach den Bestimmungen des Abs. 1 aufrecht bleiben, wenn zumindest ein Erbnehmer das geförderte Objekt für den Eigenbedarf verwendet, andernfalls ist der Kredit gemäß § 19 binnen sechs </w:t>
      </w:r>
      <w:proofErr w:type="gramStart"/>
      <w:r w:rsidRPr="00212DF9">
        <w:rPr>
          <w:rFonts w:cs="Times New Roman"/>
          <w:sz w:val="24"/>
          <w:szCs w:val="24"/>
        </w:rPr>
        <w:t>Mona-</w:t>
      </w:r>
      <w:proofErr w:type="spellStart"/>
      <w:r w:rsidRPr="00212DF9">
        <w:rPr>
          <w:rFonts w:cs="Times New Roman"/>
          <w:sz w:val="24"/>
          <w:szCs w:val="24"/>
        </w:rPr>
        <w:t>ten</w:t>
      </w:r>
      <w:proofErr w:type="spellEnd"/>
      <w:proofErr w:type="gramEnd"/>
      <w:r w:rsidRPr="00212DF9">
        <w:rPr>
          <w:rFonts w:cs="Times New Roman"/>
          <w:sz w:val="24"/>
          <w:szCs w:val="24"/>
        </w:rPr>
        <w:t xml:space="preserve"> abzudecken. Hat der Erbnehmer das geförderte Objekt bereits bisher bewohnt, wird von der Prüfung der personenbezogenen Förderungsvoraussetzungen abgesehen.</w:t>
      </w:r>
      <w:r w:rsidRPr="00212DF9">
        <w:rPr>
          <w:rFonts w:cs="Times New Roman"/>
          <w:sz w:val="24"/>
          <w:szCs w:val="24"/>
        </w:rPr>
        <w:br/>
        <w:t xml:space="preserve">Bei mehreren Erben müssen alle Erben, auch wenn sie nur eine bedingte </w:t>
      </w:r>
      <w:proofErr w:type="spellStart"/>
      <w:r w:rsidRPr="00212DF9">
        <w:rPr>
          <w:rFonts w:cs="Times New Roman"/>
          <w:sz w:val="24"/>
          <w:szCs w:val="24"/>
        </w:rPr>
        <w:t>Erbserklärung</w:t>
      </w:r>
      <w:proofErr w:type="spellEnd"/>
      <w:r w:rsidRPr="00212DF9">
        <w:rPr>
          <w:rFonts w:cs="Times New Roman"/>
          <w:sz w:val="24"/>
          <w:szCs w:val="24"/>
        </w:rPr>
        <w:t xml:space="preserve"> abgegeben haben, eine Schuldbeitrittserklärung zum Förderungskredit abgeben, außer es wird eine schriftliche Vereinbarung vorgelegt, dass nur jene Erben für den Förderungskredit haften, welche auch Eigentümer der geförderten Liegenschaft werden.</w:t>
      </w:r>
    </w:p>
    <w:p w:rsidR="00212DF9" w:rsidRPr="00212DF9" w:rsidRDefault="00212DF9" w:rsidP="00212DF9">
      <w:pPr>
        <w:numPr>
          <w:ilvl w:val="0"/>
          <w:numId w:val="5"/>
        </w:numPr>
        <w:spacing w:before="360" w:after="120" w:line="240" w:lineRule="auto"/>
        <w:ind w:left="573" w:hanging="573"/>
        <w:rPr>
          <w:rFonts w:cs="Times New Roman"/>
          <w:sz w:val="24"/>
          <w:szCs w:val="24"/>
        </w:rPr>
      </w:pPr>
      <w:r w:rsidRPr="00212DF9">
        <w:rPr>
          <w:rFonts w:cs="Times New Roman"/>
          <w:sz w:val="24"/>
          <w:szCs w:val="24"/>
        </w:rPr>
        <w:t xml:space="preserve">Wird eine geförderte Wohnung oder ein gefördertes Eigenheim im Rahmen einer (Zwangs-)Versteigerung für den Eigenbedarf übernommen, kann unter den </w:t>
      </w:r>
      <w:proofErr w:type="gramStart"/>
      <w:r w:rsidRPr="00212DF9">
        <w:rPr>
          <w:rFonts w:cs="Times New Roman"/>
          <w:sz w:val="24"/>
          <w:szCs w:val="24"/>
        </w:rPr>
        <w:t>Voraus-</w:t>
      </w:r>
      <w:r w:rsidRPr="00212DF9">
        <w:rPr>
          <w:rFonts w:cs="Times New Roman"/>
          <w:sz w:val="24"/>
          <w:szCs w:val="24"/>
        </w:rPr>
        <w:lastRenderedPageBreak/>
        <w:t>setzungen</w:t>
      </w:r>
      <w:proofErr w:type="gramEnd"/>
      <w:r w:rsidRPr="00212DF9">
        <w:rPr>
          <w:rFonts w:cs="Times New Roman"/>
          <w:sz w:val="24"/>
          <w:szCs w:val="24"/>
        </w:rPr>
        <w:t xml:space="preserve"> des Abs. 1 ein Förderungskredit ebenfalls übernommen werden, sofern das gesamte aushaftende Kreditvolumen im </w:t>
      </w:r>
      <w:proofErr w:type="spellStart"/>
      <w:r w:rsidRPr="00212DF9">
        <w:rPr>
          <w:rFonts w:cs="Times New Roman"/>
          <w:sz w:val="24"/>
          <w:szCs w:val="24"/>
        </w:rPr>
        <w:t>Meistbot</w:t>
      </w:r>
      <w:proofErr w:type="spellEnd"/>
      <w:r w:rsidRPr="00212DF9">
        <w:rPr>
          <w:rFonts w:cs="Times New Roman"/>
          <w:sz w:val="24"/>
          <w:szCs w:val="24"/>
        </w:rPr>
        <w:t xml:space="preserve"> Deckung findet. Diese </w:t>
      </w:r>
      <w:proofErr w:type="gramStart"/>
      <w:r w:rsidRPr="00212DF9">
        <w:rPr>
          <w:rFonts w:cs="Times New Roman"/>
          <w:sz w:val="24"/>
          <w:szCs w:val="24"/>
        </w:rPr>
        <w:t>Schuld-übernahme</w:t>
      </w:r>
      <w:proofErr w:type="gramEnd"/>
      <w:r w:rsidRPr="00212DF9">
        <w:rPr>
          <w:rFonts w:cs="Times New Roman"/>
          <w:sz w:val="24"/>
          <w:szCs w:val="24"/>
        </w:rPr>
        <w:t xml:space="preserve"> muss im Rahmen der gerichtlichen Versteigerung angemeldet werden, andernfalls der Kredit über das </w:t>
      </w:r>
      <w:proofErr w:type="spellStart"/>
      <w:r w:rsidRPr="00212DF9">
        <w:rPr>
          <w:rFonts w:cs="Times New Roman"/>
          <w:sz w:val="24"/>
          <w:szCs w:val="24"/>
        </w:rPr>
        <w:t>Meistbot</w:t>
      </w:r>
      <w:proofErr w:type="spellEnd"/>
      <w:r w:rsidRPr="00212DF9">
        <w:rPr>
          <w:rFonts w:cs="Times New Roman"/>
          <w:sz w:val="24"/>
          <w:szCs w:val="24"/>
        </w:rPr>
        <w:t xml:space="preserve"> vom Gericht abgedeckt wird.</w:t>
      </w:r>
    </w:p>
    <w:p w:rsidR="00212DF9" w:rsidRPr="00212DF9" w:rsidRDefault="00212DF9" w:rsidP="00212DF9">
      <w:pPr>
        <w:spacing w:after="240" w:line="240" w:lineRule="auto"/>
        <w:ind w:left="573"/>
        <w:rPr>
          <w:rFonts w:cs="Times New Roman"/>
          <w:sz w:val="24"/>
          <w:szCs w:val="24"/>
        </w:rPr>
      </w:pPr>
      <w:r w:rsidRPr="00212DF9">
        <w:rPr>
          <w:rFonts w:cs="Times New Roman"/>
          <w:sz w:val="24"/>
          <w:szCs w:val="24"/>
        </w:rPr>
        <w:t xml:space="preserve">Unmittelbar nach erfolgter Ersteigerung ist die </w:t>
      </w:r>
      <w:proofErr w:type="spellStart"/>
      <w:r w:rsidRPr="00212DF9">
        <w:rPr>
          <w:rFonts w:cs="Times New Roman"/>
          <w:sz w:val="24"/>
          <w:szCs w:val="24"/>
        </w:rPr>
        <w:t>Hypo</w:t>
      </w:r>
      <w:proofErr w:type="spellEnd"/>
      <w:r w:rsidRPr="00212DF9">
        <w:rPr>
          <w:rFonts w:cs="Times New Roman"/>
          <w:sz w:val="24"/>
          <w:szCs w:val="24"/>
        </w:rPr>
        <w:t xml:space="preserve"> Vorarlberg Bank AG, welche für das Land alle Förderungskredite betreut, vom Ersteher bzw. von der Ersteherin der Liegenschaft über die beabsichtigte Übernahme des Förderungskredits zu informieren.</w:t>
      </w:r>
    </w:p>
    <w:p w:rsidR="00212DF9" w:rsidRPr="00212DF9" w:rsidRDefault="00212DF9" w:rsidP="00212DF9">
      <w:pPr>
        <w:numPr>
          <w:ilvl w:val="0"/>
          <w:numId w:val="5"/>
        </w:numPr>
        <w:spacing w:before="360" w:after="240" w:line="240" w:lineRule="auto"/>
        <w:ind w:left="573" w:hanging="573"/>
        <w:rPr>
          <w:rFonts w:cs="Times New Roman"/>
          <w:sz w:val="24"/>
          <w:szCs w:val="24"/>
        </w:rPr>
      </w:pPr>
      <w:r w:rsidRPr="00212DF9">
        <w:rPr>
          <w:rFonts w:cs="Times New Roman"/>
          <w:sz w:val="24"/>
          <w:szCs w:val="24"/>
        </w:rPr>
        <w:t>Wurde eine Wohnung als Dienstnehmer- oder als Mietwohnung (Investorenwohnung) gefördert, wird einer Übernahme des Förderungskredits zur Weitervermietung nur zugestimmt, wenn sich der Übernehmer verpflichtet, die zum Zeitpunkt der Übernahme gültigen aktuellen Mietbestimmungen einzuhalten und die sonstigen Bestimmungen für Investoren- bzw. Dienstnehmerwohnungen gemäß § 11 erfüllt sind.</w:t>
      </w:r>
    </w:p>
    <w:p w:rsidR="00212DF9" w:rsidRPr="00212DF9" w:rsidRDefault="00212DF9" w:rsidP="00212DF9">
      <w:pPr>
        <w:numPr>
          <w:ilvl w:val="0"/>
          <w:numId w:val="5"/>
        </w:numPr>
        <w:spacing w:before="360" w:after="240" w:line="240" w:lineRule="auto"/>
        <w:ind w:left="573" w:hanging="573"/>
        <w:rPr>
          <w:rFonts w:cs="Times New Roman"/>
          <w:sz w:val="24"/>
          <w:szCs w:val="24"/>
        </w:rPr>
      </w:pPr>
      <w:r w:rsidRPr="00212DF9">
        <w:rPr>
          <w:rFonts w:cs="Times New Roman"/>
          <w:sz w:val="24"/>
          <w:szCs w:val="24"/>
        </w:rPr>
        <w:t>Förderungskredite mit einem aushaftenden Saldo von weniger als € 4.000,00 können nur bei Verlassenschaften, nicht aber vertraglich oder im Rahmen einer Versteigerung übernommen werden.</w:t>
      </w:r>
    </w:p>
    <w:p w:rsidR="002C61D1" w:rsidRPr="00A4489D" w:rsidRDefault="00212DF9" w:rsidP="00212DF9">
      <w:pPr>
        <w:pStyle w:val="Textkrper"/>
        <w:tabs>
          <w:tab w:val="num" w:pos="0"/>
        </w:tabs>
        <w:ind w:right="-120"/>
        <w:rPr>
          <w:rFonts w:asciiTheme="minorHAnsi" w:hAnsiTheme="minorHAnsi"/>
          <w:szCs w:val="24"/>
        </w:rPr>
      </w:pPr>
      <w:r w:rsidRPr="00212DF9">
        <w:rPr>
          <w:rFonts w:asciiTheme="minorHAnsi" w:hAnsiTheme="minorHAnsi"/>
          <w:szCs w:val="24"/>
        </w:rPr>
        <w:t>Bei allen Sachverhalten wird dringend empfohlen, die formalen Voraussetzungen für die Übernahme bestehender Förderungskredite vor Abschluss eines Rechtsgeschäfts mit der Abteilung Wohnbauförderung (IIId) beim Amt der Landesregierung abzuklären.</w:t>
      </w:r>
      <w:bookmarkStart w:id="0" w:name="_GoBack"/>
      <w:bookmarkEnd w:id="0"/>
    </w:p>
    <w:sectPr w:rsidR="002C61D1" w:rsidRPr="00A448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992"/>
    <w:multiLevelType w:val="hybridMultilevel"/>
    <w:tmpl w:val="432A29E0"/>
    <w:lvl w:ilvl="0" w:tplc="E95048A2">
      <w:start w:val="1"/>
      <w:numFmt w:val="decimal"/>
      <w:lvlText w:val="(%1)"/>
      <w:lvlJc w:val="left"/>
      <w:pPr>
        <w:tabs>
          <w:tab w:val="num" w:pos="570"/>
        </w:tabs>
        <w:ind w:left="570" w:hanging="570"/>
      </w:pPr>
      <w:rPr>
        <w:rFonts w:hint="default"/>
        <w:b w:val="0"/>
        <w:color w:val="auto"/>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 w15:restartNumberingAfterBreak="0">
    <w:nsid w:val="0E4937B5"/>
    <w:multiLevelType w:val="hybridMultilevel"/>
    <w:tmpl w:val="C9484B76"/>
    <w:lvl w:ilvl="0" w:tplc="E18679DE">
      <w:start w:val="1"/>
      <w:numFmt w:val="lowerLetter"/>
      <w:lvlText w:val="%1)"/>
      <w:lvlJc w:val="left"/>
      <w:pPr>
        <w:ind w:left="1290" w:hanging="360"/>
      </w:pPr>
      <w:rPr>
        <w:rFonts w:hint="default"/>
      </w:rPr>
    </w:lvl>
    <w:lvl w:ilvl="1" w:tplc="0C070019" w:tentative="1">
      <w:start w:val="1"/>
      <w:numFmt w:val="lowerLetter"/>
      <w:lvlText w:val="%2."/>
      <w:lvlJc w:val="left"/>
      <w:pPr>
        <w:ind w:left="2010" w:hanging="360"/>
      </w:pPr>
    </w:lvl>
    <w:lvl w:ilvl="2" w:tplc="0C07001B" w:tentative="1">
      <w:start w:val="1"/>
      <w:numFmt w:val="lowerRoman"/>
      <w:lvlText w:val="%3."/>
      <w:lvlJc w:val="right"/>
      <w:pPr>
        <w:ind w:left="2730" w:hanging="180"/>
      </w:pPr>
    </w:lvl>
    <w:lvl w:ilvl="3" w:tplc="0C07000F" w:tentative="1">
      <w:start w:val="1"/>
      <w:numFmt w:val="decimal"/>
      <w:lvlText w:val="%4."/>
      <w:lvlJc w:val="left"/>
      <w:pPr>
        <w:ind w:left="3450" w:hanging="360"/>
      </w:pPr>
    </w:lvl>
    <w:lvl w:ilvl="4" w:tplc="0C070019" w:tentative="1">
      <w:start w:val="1"/>
      <w:numFmt w:val="lowerLetter"/>
      <w:lvlText w:val="%5."/>
      <w:lvlJc w:val="left"/>
      <w:pPr>
        <w:ind w:left="4170" w:hanging="360"/>
      </w:pPr>
    </w:lvl>
    <w:lvl w:ilvl="5" w:tplc="0C07001B" w:tentative="1">
      <w:start w:val="1"/>
      <w:numFmt w:val="lowerRoman"/>
      <w:lvlText w:val="%6."/>
      <w:lvlJc w:val="right"/>
      <w:pPr>
        <w:ind w:left="4890" w:hanging="180"/>
      </w:pPr>
    </w:lvl>
    <w:lvl w:ilvl="6" w:tplc="0C07000F" w:tentative="1">
      <w:start w:val="1"/>
      <w:numFmt w:val="decimal"/>
      <w:lvlText w:val="%7."/>
      <w:lvlJc w:val="left"/>
      <w:pPr>
        <w:ind w:left="5610" w:hanging="360"/>
      </w:pPr>
    </w:lvl>
    <w:lvl w:ilvl="7" w:tplc="0C070019" w:tentative="1">
      <w:start w:val="1"/>
      <w:numFmt w:val="lowerLetter"/>
      <w:lvlText w:val="%8."/>
      <w:lvlJc w:val="left"/>
      <w:pPr>
        <w:ind w:left="6330" w:hanging="360"/>
      </w:pPr>
    </w:lvl>
    <w:lvl w:ilvl="8" w:tplc="0C07001B" w:tentative="1">
      <w:start w:val="1"/>
      <w:numFmt w:val="lowerRoman"/>
      <w:lvlText w:val="%9."/>
      <w:lvlJc w:val="right"/>
      <w:pPr>
        <w:ind w:left="7050" w:hanging="180"/>
      </w:pPr>
    </w:lvl>
  </w:abstractNum>
  <w:abstractNum w:abstractNumId="2" w15:restartNumberingAfterBreak="0">
    <w:nsid w:val="19FB5D99"/>
    <w:multiLevelType w:val="hybridMultilevel"/>
    <w:tmpl w:val="A75602AC"/>
    <w:lvl w:ilvl="0" w:tplc="C74EB762">
      <w:start w:val="1"/>
      <w:numFmt w:val="decimal"/>
      <w:lvlText w:val="(%1)"/>
      <w:lvlJc w:val="left"/>
      <w:pPr>
        <w:tabs>
          <w:tab w:val="num" w:pos="570"/>
        </w:tabs>
        <w:ind w:left="570" w:hanging="57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C554696"/>
    <w:multiLevelType w:val="hybridMultilevel"/>
    <w:tmpl w:val="3EDAC4E6"/>
    <w:lvl w:ilvl="0" w:tplc="3320A5E6">
      <w:start w:val="1"/>
      <w:numFmt w:val="decimal"/>
      <w:lvlText w:val="(%1)"/>
      <w:lvlJc w:val="left"/>
      <w:pPr>
        <w:tabs>
          <w:tab w:val="num" w:pos="720"/>
        </w:tabs>
        <w:ind w:left="720" w:hanging="360"/>
      </w:pPr>
      <w:rPr>
        <w:rFonts w:hint="default"/>
        <w:color w:val="auto"/>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 w15:restartNumberingAfterBreak="0">
    <w:nsid w:val="62FE75FB"/>
    <w:multiLevelType w:val="hybridMultilevel"/>
    <w:tmpl w:val="03FA0E18"/>
    <w:lvl w:ilvl="0" w:tplc="0C070017">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64013DDF"/>
    <w:multiLevelType w:val="hybridMultilevel"/>
    <w:tmpl w:val="514E91DC"/>
    <w:lvl w:ilvl="0" w:tplc="7B90AE70">
      <w:start w:val="1"/>
      <w:numFmt w:val="decimal"/>
      <w:lvlText w:val="(%1)"/>
      <w:lvlJc w:val="left"/>
      <w:pPr>
        <w:ind w:left="360" w:hanging="360"/>
      </w:pPr>
      <w:rPr>
        <w:strike w:val="0"/>
      </w:rPr>
    </w:lvl>
    <w:lvl w:ilvl="1" w:tplc="3CCAA460">
      <w:start w:val="1"/>
      <w:numFmt w:val="lowerLetter"/>
      <w:lvlText w:val="%2)"/>
      <w:lvlJc w:val="left"/>
      <w:pPr>
        <w:ind w:left="786" w:hanging="360"/>
      </w:pPr>
      <w:rPr>
        <w:strike w:val="0"/>
        <w:color w:val="auto"/>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4B"/>
    <w:rsid w:val="000A723F"/>
    <w:rsid w:val="000B32B8"/>
    <w:rsid w:val="001A7E27"/>
    <w:rsid w:val="001B0263"/>
    <w:rsid w:val="001C024B"/>
    <w:rsid w:val="001C3C60"/>
    <w:rsid w:val="00212DF9"/>
    <w:rsid w:val="002C61D1"/>
    <w:rsid w:val="002F2A83"/>
    <w:rsid w:val="00351F10"/>
    <w:rsid w:val="00400FCF"/>
    <w:rsid w:val="00433668"/>
    <w:rsid w:val="00784DDA"/>
    <w:rsid w:val="00A4489D"/>
    <w:rsid w:val="00DD5654"/>
    <w:rsid w:val="00EA04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9F01B-D716-4297-A041-EC1A0763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5">
    <w:name w:val="heading 5"/>
    <w:basedOn w:val="Standard"/>
    <w:next w:val="Standard"/>
    <w:link w:val="berschrift5Zchn"/>
    <w:qFormat/>
    <w:rsid w:val="00EA0430"/>
    <w:pPr>
      <w:keepNext/>
      <w:tabs>
        <w:tab w:val="left" w:pos="568"/>
      </w:tabs>
      <w:spacing w:after="0" w:line="360" w:lineRule="atLeast"/>
      <w:ind w:left="568" w:right="-120" w:hanging="568"/>
      <w:jc w:val="center"/>
      <w:outlineLvl w:val="4"/>
    </w:pPr>
    <w:rPr>
      <w:rFonts w:ascii="TimesNewRoman" w:eastAsia="Times New Roman" w:hAnsi="TimesNewRoman" w:cs="Times New Roman"/>
      <w:b/>
      <w:sz w:val="24"/>
      <w:szCs w:val="2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D5654"/>
    <w:rPr>
      <w:color w:val="0000FF"/>
      <w:u w:val="single"/>
    </w:rPr>
  </w:style>
  <w:style w:type="paragraph" w:styleId="Listenabsatz">
    <w:name w:val="List Paragraph"/>
    <w:basedOn w:val="Standard"/>
    <w:uiPriority w:val="34"/>
    <w:qFormat/>
    <w:rsid w:val="002C61D1"/>
    <w:pPr>
      <w:spacing w:after="0" w:line="240" w:lineRule="auto"/>
      <w:ind w:left="720"/>
      <w:contextualSpacing/>
    </w:pPr>
    <w:rPr>
      <w:rFonts w:ascii="Times New Roman" w:hAnsi="Times New Roman" w:cs="Times New Roman"/>
      <w:sz w:val="24"/>
      <w:szCs w:val="26"/>
    </w:rPr>
  </w:style>
  <w:style w:type="character" w:styleId="Funotenzeichen">
    <w:name w:val="footnote reference"/>
    <w:basedOn w:val="Absatz-Standardschriftart"/>
    <w:uiPriority w:val="99"/>
    <w:semiHidden/>
    <w:unhideWhenUsed/>
    <w:rsid w:val="002C61D1"/>
    <w:rPr>
      <w:vertAlign w:val="superscript"/>
    </w:rPr>
  </w:style>
  <w:style w:type="table" w:styleId="Tabellenraster">
    <w:name w:val="Table Grid"/>
    <w:basedOn w:val="NormaleTabelle"/>
    <w:uiPriority w:val="59"/>
    <w:rsid w:val="002C61D1"/>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unhideWhenUsed/>
    <w:rsid w:val="00A4489D"/>
    <w:pPr>
      <w:spacing w:after="120" w:line="240" w:lineRule="auto"/>
    </w:pPr>
    <w:rPr>
      <w:rFonts w:ascii="Times New Roman" w:hAnsi="Times New Roman" w:cs="Times New Roman"/>
      <w:sz w:val="24"/>
      <w:szCs w:val="26"/>
    </w:rPr>
  </w:style>
  <w:style w:type="character" w:customStyle="1" w:styleId="TextkrperZchn">
    <w:name w:val="Textkörper Zchn"/>
    <w:basedOn w:val="Absatz-Standardschriftart"/>
    <w:link w:val="Textkrper"/>
    <w:uiPriority w:val="99"/>
    <w:rsid w:val="00A4489D"/>
    <w:rPr>
      <w:rFonts w:ascii="Times New Roman" w:hAnsi="Times New Roman" w:cs="Times New Roman"/>
      <w:sz w:val="24"/>
      <w:szCs w:val="26"/>
    </w:rPr>
  </w:style>
  <w:style w:type="character" w:customStyle="1" w:styleId="berschrift5Zchn">
    <w:name w:val="Überschrift 5 Zchn"/>
    <w:basedOn w:val="Absatz-Standardschriftart"/>
    <w:link w:val="berschrift5"/>
    <w:rsid w:val="00EA0430"/>
    <w:rPr>
      <w:rFonts w:ascii="TimesNewRoman" w:eastAsia="Times New Roman" w:hAnsi="TimesNewRoman" w:cs="Times New Roman"/>
      <w:b/>
      <w:sz w:val="24"/>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3507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Schwarz Elisabeth</dc:creator>
  <cp:lastModifiedBy>Hinterauer Peter</cp:lastModifiedBy>
  <cp:revision>2</cp:revision>
  <dcterms:created xsi:type="dcterms:W3CDTF">2021-12-30T15:26:00Z</dcterms:created>
  <dcterms:modified xsi:type="dcterms:W3CDTF">2021-12-30T15:26:00Z</dcterms:modified>
</cp:coreProperties>
</file>