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FB" w:rsidRDefault="007019E1" w:rsidP="00296FC3">
      <w:pPr>
        <w:jc w:val="both"/>
        <w:rPr>
          <w:rFonts w:cs="Tahoma"/>
          <w:color w:val="1F497D" w:themeColor="text2"/>
          <w:sz w:val="20"/>
        </w:rPr>
      </w:pPr>
      <w:r w:rsidRPr="00296FC3">
        <w:rPr>
          <w:rFonts w:eastAsia="Calibri"/>
          <w:color w:val="1F497D" w:themeColor="text2"/>
          <w:sz w:val="32"/>
        </w:rPr>
        <w:t>Bericht zu „Gender Budgeting in der Vorarlberger Landesverwaltung“</w:t>
      </w:r>
      <w:r w:rsidR="00450B4E" w:rsidRPr="00296FC3">
        <w:rPr>
          <w:rFonts w:cs="Tahoma"/>
          <w:color w:val="1F497D" w:themeColor="text2"/>
          <w:sz w:val="20"/>
        </w:rPr>
        <w:t xml:space="preserve"> </w:t>
      </w:r>
    </w:p>
    <w:p w:rsidR="00C633D4" w:rsidRDefault="00450B4E" w:rsidP="00296FC3">
      <w:pPr>
        <w:jc w:val="both"/>
        <w:rPr>
          <w:rFonts w:cs="Tahoma"/>
          <w:sz w:val="16"/>
        </w:rPr>
      </w:pPr>
      <w:r w:rsidRPr="00296FC3">
        <w:rPr>
          <w:rFonts w:cs="Tahoma"/>
          <w:sz w:val="16"/>
        </w:rPr>
        <w:t xml:space="preserve">(erstellt von der Abteilung Finanzangelegenheiten (IIIa) in Zusammenarbeit mit der Abteilung </w:t>
      </w:r>
      <w:r w:rsidR="000F711D" w:rsidRPr="00296FC3">
        <w:rPr>
          <w:rFonts w:cs="Tahoma"/>
          <w:sz w:val="16"/>
        </w:rPr>
        <w:t xml:space="preserve">Elementarpädagogik, Schule und </w:t>
      </w:r>
      <w:r w:rsidRPr="00296FC3">
        <w:rPr>
          <w:rFonts w:cs="Tahoma"/>
          <w:sz w:val="16"/>
        </w:rPr>
        <w:t>Gesellschaft</w:t>
      </w:r>
      <w:r w:rsidR="00C633D4">
        <w:rPr>
          <w:rFonts w:cs="Tahoma"/>
          <w:sz w:val="16"/>
        </w:rPr>
        <w:t xml:space="preserve"> </w:t>
      </w:r>
    </w:p>
    <w:p w:rsidR="00450B4E" w:rsidRPr="00296FC3" w:rsidRDefault="00D55C85" w:rsidP="00296FC3">
      <w:pPr>
        <w:jc w:val="both"/>
        <w:rPr>
          <w:rFonts w:eastAsia="Calibri" w:cs="Tahoma"/>
          <w:sz w:val="20"/>
        </w:rPr>
      </w:pPr>
      <w:r w:rsidRPr="00296FC3">
        <w:rPr>
          <w:rFonts w:cs="Tahoma"/>
          <w:sz w:val="16"/>
        </w:rPr>
        <w:t>(I</w:t>
      </w:r>
      <w:r w:rsidR="000F711D" w:rsidRPr="00296FC3">
        <w:rPr>
          <w:rFonts w:cs="Tahoma"/>
          <w:sz w:val="16"/>
        </w:rPr>
        <w:t>I</w:t>
      </w:r>
      <w:r w:rsidRPr="00296FC3">
        <w:rPr>
          <w:rFonts w:cs="Tahoma"/>
          <w:sz w:val="16"/>
        </w:rPr>
        <w:t>a</w:t>
      </w:r>
      <w:r w:rsidR="008729FB">
        <w:rPr>
          <w:rFonts w:cs="Tahoma"/>
          <w:sz w:val="16"/>
        </w:rPr>
        <w:t>)</w:t>
      </w:r>
      <w:r w:rsidR="00450B4E" w:rsidRPr="00296FC3">
        <w:rPr>
          <w:rFonts w:cs="Tahoma"/>
          <w:sz w:val="16"/>
        </w:rPr>
        <w:t>, Funktionsbereich Frauen und Gleichstellung)</w:t>
      </w:r>
    </w:p>
    <w:p w:rsidR="007019E1" w:rsidRPr="00296FC3" w:rsidRDefault="007019E1" w:rsidP="00296FC3">
      <w:pPr>
        <w:pStyle w:val="Titel"/>
        <w:spacing w:after="0" w:line="276" w:lineRule="auto"/>
        <w:rPr>
          <w:rFonts w:asciiTheme="minorHAnsi" w:eastAsia="Calibri" w:hAnsiTheme="minorHAnsi"/>
          <w:sz w:val="18"/>
          <w:szCs w:val="18"/>
        </w:rPr>
      </w:pPr>
    </w:p>
    <w:p w:rsidR="007019E1" w:rsidRDefault="007019E1" w:rsidP="00296FC3">
      <w:pPr>
        <w:pStyle w:val="berschrift1"/>
        <w:spacing w:before="0"/>
      </w:pPr>
      <w:r w:rsidRPr="00296FC3">
        <w:t>Einle</w:t>
      </w:r>
      <w:r w:rsidR="00CF5428" w:rsidRPr="00296FC3">
        <w:t>itung zu „Gender Budgeting“</w:t>
      </w:r>
    </w:p>
    <w:p w:rsidR="00493790" w:rsidRPr="00493790" w:rsidRDefault="00493790" w:rsidP="00493790"/>
    <w:p w:rsidR="007019E1" w:rsidRPr="00296FC3" w:rsidRDefault="007019E1" w:rsidP="00296FC3">
      <w:pPr>
        <w:pStyle w:val="berschrift2"/>
        <w:spacing w:before="0"/>
        <w:rPr>
          <w:sz w:val="24"/>
          <w:szCs w:val="24"/>
        </w:rPr>
      </w:pPr>
      <w:r w:rsidRPr="00296FC3">
        <w:rPr>
          <w:sz w:val="24"/>
          <w:szCs w:val="24"/>
        </w:rPr>
        <w:t>Gender Budgeting – Erklärung</w:t>
      </w:r>
    </w:p>
    <w:p w:rsidR="007019E1" w:rsidRPr="00296FC3" w:rsidRDefault="007019E1" w:rsidP="00296FC3">
      <w:pPr>
        <w:pStyle w:val="KeinLeerraum1"/>
        <w:spacing w:line="276" w:lineRule="auto"/>
        <w:jc w:val="both"/>
        <w:rPr>
          <w:rFonts w:asciiTheme="minorHAnsi" w:hAnsiTheme="minorHAnsi" w:cs="Tahoma"/>
          <w:sz w:val="24"/>
          <w:szCs w:val="24"/>
        </w:rPr>
      </w:pPr>
      <w:r w:rsidRPr="00296FC3">
        <w:rPr>
          <w:rFonts w:asciiTheme="minorHAnsi" w:hAnsiTheme="minorHAnsi" w:cs="Tahoma"/>
          <w:sz w:val="24"/>
          <w:szCs w:val="24"/>
        </w:rPr>
        <w:t xml:space="preserve">Gender Budgeting ist das haushaltspolitische Instrument von Gender Mainstreaming, das der Planung, Steuerung und Evaluierung des Haushaltes im Hinblick auf das Ziel der Gleichstellung der Geschlechter dient. Bei Gender Budgeting wird der Landeshaushalt aus einer Geschlechterperspektive betrachtet, um Ungleichheiten zwischen Frauen und Männern im Hinblick auf budgetpolitische Maßnahmen zu erkennen und zu beseitigen. Das Ziel ist eine gerechte Verteilung </w:t>
      </w:r>
      <w:r w:rsidR="00452508" w:rsidRPr="00296FC3">
        <w:rPr>
          <w:rFonts w:asciiTheme="minorHAnsi" w:hAnsiTheme="minorHAnsi" w:cs="Tahoma"/>
          <w:sz w:val="24"/>
          <w:szCs w:val="24"/>
        </w:rPr>
        <w:t xml:space="preserve">eingesetzter </w:t>
      </w:r>
      <w:r w:rsidRPr="00296FC3">
        <w:rPr>
          <w:rFonts w:asciiTheme="minorHAnsi" w:hAnsiTheme="minorHAnsi" w:cs="Tahoma"/>
          <w:sz w:val="24"/>
          <w:szCs w:val="24"/>
        </w:rPr>
        <w:t>Mittel der öffentlichen H</w:t>
      </w:r>
      <w:r w:rsidR="00CF5428" w:rsidRPr="00296FC3">
        <w:rPr>
          <w:rFonts w:asciiTheme="minorHAnsi" w:hAnsiTheme="minorHAnsi" w:cs="Tahoma"/>
          <w:sz w:val="24"/>
          <w:szCs w:val="24"/>
        </w:rPr>
        <w:t>and zwischen den Geschlechtern.</w:t>
      </w:r>
    </w:p>
    <w:p w:rsidR="008420BA" w:rsidRPr="00296FC3" w:rsidRDefault="008420BA" w:rsidP="00296FC3">
      <w:pPr>
        <w:pStyle w:val="KeinLeerraum1"/>
        <w:spacing w:line="276" w:lineRule="auto"/>
        <w:jc w:val="both"/>
        <w:rPr>
          <w:rFonts w:asciiTheme="minorHAnsi" w:hAnsiTheme="minorHAnsi" w:cs="Tahoma"/>
          <w:sz w:val="24"/>
          <w:szCs w:val="24"/>
        </w:rPr>
      </w:pPr>
    </w:p>
    <w:p w:rsidR="008420BA" w:rsidRPr="00296FC3" w:rsidRDefault="008420BA" w:rsidP="00296FC3">
      <w:pPr>
        <w:pStyle w:val="KeinLeerraum1"/>
        <w:spacing w:line="276" w:lineRule="auto"/>
        <w:jc w:val="both"/>
        <w:rPr>
          <w:rFonts w:asciiTheme="minorHAnsi" w:hAnsiTheme="minorHAnsi" w:cs="Tahoma"/>
          <w:sz w:val="24"/>
          <w:szCs w:val="24"/>
        </w:rPr>
      </w:pPr>
    </w:p>
    <w:p w:rsidR="007019E1" w:rsidRPr="00296FC3" w:rsidRDefault="007019E1" w:rsidP="00296FC3">
      <w:pPr>
        <w:pStyle w:val="berschrift2"/>
        <w:spacing w:before="0"/>
        <w:rPr>
          <w:sz w:val="24"/>
          <w:szCs w:val="24"/>
        </w:rPr>
      </w:pPr>
      <w:r w:rsidRPr="00296FC3">
        <w:rPr>
          <w:sz w:val="24"/>
          <w:szCs w:val="24"/>
        </w:rPr>
        <w:t>Gender Budgeting</w:t>
      </w:r>
      <w:r w:rsidR="004509EB" w:rsidRPr="00296FC3">
        <w:rPr>
          <w:sz w:val="24"/>
          <w:szCs w:val="24"/>
        </w:rPr>
        <w:t xml:space="preserve"> </w:t>
      </w:r>
      <w:r w:rsidR="00D55C85" w:rsidRPr="00296FC3">
        <w:rPr>
          <w:sz w:val="24"/>
          <w:szCs w:val="24"/>
        </w:rPr>
        <w:t>– Die gesetzliche Grundlage</w:t>
      </w:r>
    </w:p>
    <w:p w:rsidR="007019E1" w:rsidRPr="00296FC3" w:rsidRDefault="007019E1" w:rsidP="00296FC3">
      <w:pPr>
        <w:jc w:val="both"/>
        <w:rPr>
          <w:rFonts w:cs="Tahoma"/>
          <w:sz w:val="24"/>
          <w:szCs w:val="24"/>
        </w:rPr>
      </w:pPr>
      <w:r w:rsidRPr="00296FC3">
        <w:rPr>
          <w:rFonts w:cs="Tahoma"/>
          <w:sz w:val="24"/>
          <w:szCs w:val="24"/>
        </w:rPr>
        <w:t>Seit dem 1. Jänner 2009 ist Gender Budgeting in der österreichischen Bundesverfassung verankert: Bund, Länder und Gemeinden haben bei der Haushaltsführung die „tatsächliche Gleichstellung von Frauen und Männern anzustreben“ (Art. 13 Abs. 3 B-VG). Bund, Länder und Gemeinden sind somit verpflichtet, Gender Budgeting umzusetzen. Auf EU-Ebene ist Gender Mainstreaming ein zentraler Pfeiler europäischer Gleichstellungspolitik und Teil des Primärrechts (Art. 2 und 3 EU-Vertrag). Es beinhaltet die Verpflichtung zur Umsetzung von Gender Budgeting als Konkretisierung von Gender Main</w:t>
      </w:r>
      <w:r w:rsidR="00CF5428" w:rsidRPr="00296FC3">
        <w:rPr>
          <w:rFonts w:cs="Tahoma"/>
          <w:sz w:val="24"/>
          <w:szCs w:val="24"/>
        </w:rPr>
        <w:t>streaming in der Budgetpolitik.</w:t>
      </w:r>
    </w:p>
    <w:p w:rsidR="008420BA" w:rsidRPr="00296FC3" w:rsidRDefault="008420BA" w:rsidP="00296FC3">
      <w:pPr>
        <w:jc w:val="both"/>
        <w:rPr>
          <w:rFonts w:cs="Tahoma"/>
          <w:sz w:val="24"/>
          <w:szCs w:val="24"/>
        </w:rPr>
      </w:pPr>
    </w:p>
    <w:p w:rsidR="008420BA" w:rsidRPr="00296FC3" w:rsidRDefault="008420BA" w:rsidP="00296FC3">
      <w:pPr>
        <w:jc w:val="both"/>
        <w:rPr>
          <w:rFonts w:cs="Tahoma"/>
          <w:sz w:val="24"/>
          <w:szCs w:val="24"/>
        </w:rPr>
      </w:pPr>
    </w:p>
    <w:p w:rsidR="007019E1" w:rsidRPr="00296FC3" w:rsidRDefault="007019E1" w:rsidP="00296FC3">
      <w:pPr>
        <w:pStyle w:val="berschrift2"/>
        <w:spacing w:before="0"/>
        <w:rPr>
          <w:sz w:val="24"/>
          <w:szCs w:val="24"/>
        </w:rPr>
      </w:pPr>
      <w:r w:rsidRPr="00296FC3">
        <w:rPr>
          <w:sz w:val="24"/>
          <w:szCs w:val="24"/>
        </w:rPr>
        <w:t>Gender Budgeting – Nutzen</w:t>
      </w:r>
    </w:p>
    <w:p w:rsidR="007019E1" w:rsidRPr="00296FC3" w:rsidRDefault="007019E1" w:rsidP="00296FC3">
      <w:pPr>
        <w:jc w:val="both"/>
        <w:rPr>
          <w:rFonts w:eastAsia="Calibri" w:cs="Tahoma"/>
          <w:sz w:val="24"/>
          <w:szCs w:val="24"/>
        </w:rPr>
      </w:pPr>
      <w:r w:rsidRPr="00296FC3">
        <w:rPr>
          <w:rFonts w:cs="Tahoma"/>
          <w:sz w:val="24"/>
          <w:szCs w:val="24"/>
        </w:rPr>
        <w:t>Die Ziele einer Gleichstellungspolitik sind unter anderem ein gleichberechtigter Zugang für Frauen und Männer zu öffentlichen Leistungen und zur sozialen Sicherung, gleichberechtigte Mitbestimmungsmöglichkeiten, eigenständige Existenzsicherung für Frauen und Männer, sowie selbstbestimmte Lebensgestaltung und ein Leben frei von jeder Form der Gewalt.</w:t>
      </w:r>
    </w:p>
    <w:p w:rsidR="007019E1" w:rsidRPr="00296FC3" w:rsidRDefault="007019E1" w:rsidP="00296FC3">
      <w:pPr>
        <w:jc w:val="both"/>
        <w:rPr>
          <w:rFonts w:cs="Tahoma"/>
          <w:sz w:val="24"/>
          <w:szCs w:val="24"/>
        </w:rPr>
      </w:pPr>
    </w:p>
    <w:p w:rsidR="00F94C83" w:rsidRPr="00296FC3" w:rsidRDefault="007019E1" w:rsidP="00296FC3">
      <w:pPr>
        <w:jc w:val="both"/>
        <w:rPr>
          <w:rFonts w:cs="Tahoma"/>
          <w:sz w:val="24"/>
          <w:szCs w:val="24"/>
        </w:rPr>
      </w:pPr>
      <w:r w:rsidRPr="00296FC3">
        <w:rPr>
          <w:rFonts w:cs="Tahoma"/>
          <w:sz w:val="24"/>
          <w:szCs w:val="24"/>
        </w:rPr>
        <w:t>Die wesentlichen Strategien, um das Ziel der Gleichstellung zu erreichen, sind Frauenförderung</w:t>
      </w:r>
      <w:r w:rsidR="00452508" w:rsidRPr="00296FC3">
        <w:rPr>
          <w:rFonts w:cs="Tahoma"/>
          <w:sz w:val="24"/>
          <w:szCs w:val="24"/>
        </w:rPr>
        <w:t xml:space="preserve"> </w:t>
      </w:r>
      <w:proofErr w:type="gramStart"/>
      <w:r w:rsidR="00452508" w:rsidRPr="00296FC3">
        <w:rPr>
          <w:rFonts w:cs="Tahoma"/>
          <w:sz w:val="24"/>
          <w:szCs w:val="24"/>
        </w:rPr>
        <w:t xml:space="preserve">und </w:t>
      </w:r>
      <w:r w:rsidRPr="00296FC3">
        <w:rPr>
          <w:rFonts w:cs="Tahoma"/>
          <w:sz w:val="24"/>
          <w:szCs w:val="24"/>
        </w:rPr>
        <w:t xml:space="preserve"> Gender</w:t>
      </w:r>
      <w:proofErr w:type="gramEnd"/>
      <w:r w:rsidRPr="00296FC3">
        <w:rPr>
          <w:rFonts w:cs="Tahoma"/>
          <w:sz w:val="24"/>
          <w:szCs w:val="24"/>
        </w:rPr>
        <w:t xml:space="preserve"> Mainstreaming. Gender Budgeting ist dabei ein </w:t>
      </w:r>
      <w:r w:rsidR="00C1470B" w:rsidRPr="00296FC3">
        <w:rPr>
          <w:rFonts w:cs="Tahoma"/>
          <w:sz w:val="24"/>
          <w:szCs w:val="24"/>
        </w:rPr>
        <w:t>Hilfsi</w:t>
      </w:r>
      <w:r w:rsidRPr="00296FC3">
        <w:rPr>
          <w:rFonts w:cs="Tahoma"/>
          <w:sz w:val="24"/>
          <w:szCs w:val="24"/>
        </w:rPr>
        <w:t>nstrument</w:t>
      </w:r>
      <w:r w:rsidR="00C1470B" w:rsidRPr="00296FC3">
        <w:rPr>
          <w:rFonts w:cs="Tahoma"/>
          <w:sz w:val="24"/>
          <w:szCs w:val="24"/>
        </w:rPr>
        <w:t xml:space="preserve"> für den Prozess Gender Mainstreaming</w:t>
      </w:r>
      <w:r w:rsidRPr="00296FC3">
        <w:rPr>
          <w:rFonts w:cs="Tahoma"/>
          <w:sz w:val="24"/>
          <w:szCs w:val="24"/>
        </w:rPr>
        <w:t xml:space="preserve">, mit </w:t>
      </w:r>
      <w:r w:rsidR="00C1470B" w:rsidRPr="00296FC3">
        <w:rPr>
          <w:rFonts w:cs="Tahoma"/>
          <w:sz w:val="24"/>
          <w:szCs w:val="24"/>
        </w:rPr>
        <w:t>dem</w:t>
      </w:r>
      <w:r w:rsidRPr="00296FC3">
        <w:rPr>
          <w:rFonts w:cs="Tahoma"/>
          <w:sz w:val="24"/>
          <w:szCs w:val="24"/>
        </w:rPr>
        <w:t xml:space="preserve"> das Ziel der Gleichstellung von Frauen und Männern besser verwirklicht werden kann. Durch die </w:t>
      </w:r>
      <w:r w:rsidR="00D525D6" w:rsidRPr="00296FC3">
        <w:rPr>
          <w:rFonts w:cs="Tahoma"/>
          <w:sz w:val="24"/>
          <w:szCs w:val="24"/>
        </w:rPr>
        <w:t>Veröffentlichung</w:t>
      </w:r>
      <w:r w:rsidRPr="00296FC3">
        <w:rPr>
          <w:rFonts w:cs="Tahoma"/>
          <w:sz w:val="24"/>
          <w:szCs w:val="24"/>
        </w:rPr>
        <w:t xml:space="preserve"> und Diskussion von Ergebnissen des Gender Budgeting innerhalb der Verwaltung wird die Basis für verbesserte Informationen geschaffen und die Bewusstseinsbildung für genderrelevante Fragen und Themen unterstützt. Durch die Information über genderspezifische Wirkungen des Mitteleinsatzes wird eine erweiterte Entscheidungsgrundlage für Politiker/in</w:t>
      </w:r>
      <w:r w:rsidR="000378BB">
        <w:rPr>
          <w:rFonts w:cs="Tahoma"/>
          <w:sz w:val="24"/>
          <w:szCs w:val="24"/>
        </w:rPr>
        <w:t>nen geschaffen.</w:t>
      </w:r>
    </w:p>
    <w:p w:rsidR="00F94C83" w:rsidRPr="00296FC3" w:rsidRDefault="00F94C83" w:rsidP="00296FC3">
      <w:pPr>
        <w:jc w:val="both"/>
        <w:rPr>
          <w:rFonts w:cs="Tahoma"/>
          <w:sz w:val="24"/>
          <w:szCs w:val="24"/>
        </w:rPr>
      </w:pPr>
    </w:p>
    <w:p w:rsidR="007019E1" w:rsidRPr="00296FC3" w:rsidRDefault="007019E1" w:rsidP="00296FC3">
      <w:pPr>
        <w:jc w:val="both"/>
        <w:rPr>
          <w:rFonts w:cs="Tahoma"/>
          <w:sz w:val="24"/>
          <w:szCs w:val="24"/>
        </w:rPr>
      </w:pPr>
    </w:p>
    <w:p w:rsidR="00CF5428" w:rsidRPr="00296FC3" w:rsidRDefault="007019E1" w:rsidP="00296FC3">
      <w:pPr>
        <w:pStyle w:val="berschrift1"/>
        <w:spacing w:before="0"/>
        <w:rPr>
          <w:szCs w:val="26"/>
        </w:rPr>
      </w:pPr>
      <w:r w:rsidRPr="00296FC3">
        <w:rPr>
          <w:szCs w:val="26"/>
        </w:rPr>
        <w:t>Eckdaten zur Lebenssituation von F</w:t>
      </w:r>
      <w:r w:rsidR="004509EB" w:rsidRPr="00296FC3">
        <w:rPr>
          <w:szCs w:val="26"/>
        </w:rPr>
        <w:t>rauen und Männ</w:t>
      </w:r>
      <w:r w:rsidR="00D55C85" w:rsidRPr="00296FC3">
        <w:rPr>
          <w:szCs w:val="26"/>
        </w:rPr>
        <w:t>ern in Vorarlberg</w:t>
      </w:r>
    </w:p>
    <w:p w:rsidR="004509EB" w:rsidRPr="00296FC3" w:rsidRDefault="004509EB" w:rsidP="00296FC3">
      <w:pPr>
        <w:rPr>
          <w:sz w:val="24"/>
          <w:szCs w:val="24"/>
        </w:rPr>
      </w:pPr>
    </w:p>
    <w:p w:rsidR="00DE571F" w:rsidRPr="00296FC3" w:rsidRDefault="007019E1" w:rsidP="00296FC3">
      <w:pPr>
        <w:jc w:val="both"/>
        <w:rPr>
          <w:rFonts w:cs="Tahoma"/>
          <w:sz w:val="24"/>
          <w:szCs w:val="24"/>
        </w:rPr>
      </w:pPr>
      <w:r w:rsidRPr="00296FC3">
        <w:rPr>
          <w:rFonts w:cs="Tahoma"/>
          <w:sz w:val="24"/>
          <w:szCs w:val="24"/>
        </w:rPr>
        <w:t>Um die Gleichstellung in Vorarlberg abzubilden wurden die Vorarlberger Gleichstellungsindikatoren entwickelt. Diese Indikatoren sollen Auskunft geben, wie es um die Gleichstellung in Vorarlberg bestellt ist und sind Grundlage für wirksame Strategien und Maßnahmen zur Gleichstellung. Einschränkend muss festgehalten werden, dass wesentliche Indikatoren nicht nur durch landesgesetzliche, sondern vielmehr durch bundesgesetzliche Bestimmungen bzw. auch durch Rechtsnormen der Eu</w:t>
      </w:r>
      <w:r w:rsidR="00CF5428" w:rsidRPr="00296FC3">
        <w:rPr>
          <w:rFonts w:cs="Tahoma"/>
          <w:sz w:val="24"/>
          <w:szCs w:val="24"/>
        </w:rPr>
        <w:t>ropäischen Union bestimmt sind.</w:t>
      </w:r>
    </w:p>
    <w:p w:rsidR="008420BA" w:rsidRPr="00296FC3" w:rsidRDefault="008420BA" w:rsidP="00296FC3">
      <w:pPr>
        <w:jc w:val="both"/>
        <w:rPr>
          <w:rFonts w:cs="Tahoma"/>
          <w:sz w:val="24"/>
          <w:szCs w:val="24"/>
        </w:rPr>
      </w:pPr>
    </w:p>
    <w:p w:rsidR="00B745C9" w:rsidRPr="00296FC3" w:rsidRDefault="00B745C9" w:rsidP="00296FC3">
      <w:pPr>
        <w:rPr>
          <w:rFonts w:cs="Tahoma"/>
          <w:b/>
          <w:color w:val="00B0F0"/>
          <w:sz w:val="24"/>
          <w:szCs w:val="24"/>
        </w:rPr>
      </w:pPr>
    </w:p>
    <w:p w:rsidR="007927AC" w:rsidRPr="00C01238" w:rsidRDefault="007927AC" w:rsidP="007927AC">
      <w:pPr>
        <w:rPr>
          <w:rFonts w:cs="Tahoma"/>
          <w:b/>
          <w:color w:val="00B0F0"/>
          <w:sz w:val="26"/>
          <w:szCs w:val="26"/>
        </w:rPr>
      </w:pPr>
      <w:r w:rsidRPr="00C01238">
        <w:rPr>
          <w:rFonts w:cs="Tahoma"/>
          <w:b/>
          <w:color w:val="00B0F0"/>
          <w:sz w:val="26"/>
          <w:szCs w:val="26"/>
        </w:rPr>
        <w:t>30 Gleichstellungsindikatoren:</w:t>
      </w:r>
    </w:p>
    <w:tbl>
      <w:tblPr>
        <w:tblStyle w:val="Tabellenraster"/>
        <w:tblpPr w:leftFromText="141" w:rightFromText="141" w:vertAnchor="text" w:horzAnchor="margin" w:tblpXSpec="center" w:tblpY="411"/>
        <w:tblW w:w="11390" w:type="dxa"/>
        <w:tblInd w:w="0" w:type="dxa"/>
        <w:tblLayout w:type="fixed"/>
        <w:tblLook w:val="04A0" w:firstRow="1" w:lastRow="0" w:firstColumn="1" w:lastColumn="0" w:noHBand="0" w:noVBand="1"/>
      </w:tblPr>
      <w:tblGrid>
        <w:gridCol w:w="456"/>
        <w:gridCol w:w="4681"/>
        <w:gridCol w:w="893"/>
        <w:gridCol w:w="893"/>
        <w:gridCol w:w="893"/>
        <w:gridCol w:w="893"/>
        <w:gridCol w:w="893"/>
        <w:gridCol w:w="894"/>
        <w:gridCol w:w="894"/>
      </w:tblGrid>
      <w:tr w:rsidR="007927AC" w:rsidRPr="00F852A3" w:rsidTr="00480F52">
        <w:tc>
          <w:tcPr>
            <w:tcW w:w="456" w:type="dxa"/>
            <w:tcBorders>
              <w:top w:val="nil"/>
              <w:left w:val="nil"/>
              <w:bottom w:val="nil"/>
              <w:right w:val="nil"/>
            </w:tcBorders>
          </w:tcPr>
          <w:p w:rsidR="007927AC" w:rsidRPr="004E55BC" w:rsidRDefault="007927AC" w:rsidP="00480F52">
            <w:pPr>
              <w:jc w:val="center"/>
              <w:rPr>
                <w:rFonts w:cstheme="minorHAnsi"/>
                <w:color w:val="00B0F0"/>
              </w:rPr>
            </w:pPr>
          </w:p>
        </w:tc>
        <w:tc>
          <w:tcPr>
            <w:tcW w:w="4681" w:type="dxa"/>
            <w:tcBorders>
              <w:top w:val="nil"/>
              <w:left w:val="nil"/>
              <w:bottom w:val="nil"/>
              <w:right w:val="nil"/>
            </w:tcBorders>
          </w:tcPr>
          <w:p w:rsidR="007927AC" w:rsidRPr="004E55BC" w:rsidRDefault="007927AC" w:rsidP="00480F52">
            <w:pPr>
              <w:rPr>
                <w:rFonts w:cstheme="minorHAnsi"/>
                <w:color w:val="00B0F0"/>
              </w:rPr>
            </w:pPr>
          </w:p>
        </w:tc>
        <w:tc>
          <w:tcPr>
            <w:tcW w:w="6253" w:type="dxa"/>
            <w:gridSpan w:val="7"/>
            <w:tcBorders>
              <w:top w:val="nil"/>
              <w:left w:val="nil"/>
              <w:bottom w:val="nil"/>
              <w:right w:val="nil"/>
            </w:tcBorders>
            <w:vAlign w:val="center"/>
          </w:tcPr>
          <w:p w:rsidR="007927AC" w:rsidRPr="004E55BC" w:rsidRDefault="007927AC" w:rsidP="00480F52">
            <w:pPr>
              <w:ind w:right="-105"/>
              <w:jc w:val="center"/>
              <w:rPr>
                <w:rFonts w:cstheme="minorHAnsi"/>
                <w:b/>
                <w:color w:val="00B0F0"/>
              </w:rPr>
            </w:pPr>
            <w:r w:rsidRPr="004E55BC">
              <w:rPr>
                <w:rFonts w:cstheme="minorHAnsi"/>
                <w:b/>
                <w:color w:val="00B0F0"/>
              </w:rPr>
              <w:t>Frauenanteil in %</w:t>
            </w:r>
          </w:p>
        </w:tc>
      </w:tr>
      <w:tr w:rsidR="007927AC" w:rsidRPr="00F852A3" w:rsidTr="00480F52">
        <w:tc>
          <w:tcPr>
            <w:tcW w:w="456" w:type="dxa"/>
            <w:tcBorders>
              <w:top w:val="nil"/>
              <w:left w:val="nil"/>
              <w:bottom w:val="single" w:sz="8" w:space="0" w:color="00B0F0"/>
              <w:right w:val="nil"/>
            </w:tcBorders>
          </w:tcPr>
          <w:p w:rsidR="007927AC" w:rsidRPr="004E55BC" w:rsidRDefault="007927AC" w:rsidP="00480F52">
            <w:pPr>
              <w:jc w:val="center"/>
              <w:rPr>
                <w:rFonts w:cstheme="minorHAnsi"/>
                <w:color w:val="00B0F0"/>
              </w:rPr>
            </w:pPr>
          </w:p>
        </w:tc>
        <w:tc>
          <w:tcPr>
            <w:tcW w:w="4681" w:type="dxa"/>
            <w:tcBorders>
              <w:top w:val="nil"/>
              <w:left w:val="nil"/>
              <w:bottom w:val="single" w:sz="8" w:space="0" w:color="00B0F0"/>
              <w:right w:val="nil"/>
            </w:tcBorders>
            <w:vAlign w:val="center"/>
          </w:tcPr>
          <w:p w:rsidR="007927AC" w:rsidRPr="004E55BC" w:rsidRDefault="007927AC" w:rsidP="00480F52">
            <w:pPr>
              <w:rPr>
                <w:rFonts w:cstheme="minorHAnsi"/>
                <w:color w:val="00B0F0"/>
              </w:rPr>
            </w:pPr>
          </w:p>
        </w:tc>
        <w:tc>
          <w:tcPr>
            <w:tcW w:w="893" w:type="dxa"/>
            <w:tcBorders>
              <w:top w:val="nil"/>
              <w:left w:val="nil"/>
              <w:bottom w:val="single" w:sz="8" w:space="0" w:color="00B0F0"/>
              <w:right w:val="nil"/>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2000</w:t>
            </w:r>
          </w:p>
        </w:tc>
        <w:tc>
          <w:tcPr>
            <w:tcW w:w="893" w:type="dxa"/>
            <w:tcBorders>
              <w:top w:val="nil"/>
              <w:left w:val="nil"/>
              <w:bottom w:val="single" w:sz="8" w:space="0" w:color="00B0F0"/>
              <w:right w:val="nil"/>
            </w:tcBorders>
            <w:vAlign w:val="center"/>
          </w:tcPr>
          <w:p w:rsidR="007927AC" w:rsidRPr="004E55BC" w:rsidRDefault="007927AC" w:rsidP="00480F52">
            <w:pPr>
              <w:pStyle w:val="TextTabellenbeschriftunggro"/>
              <w:jc w:val="left"/>
              <w:rPr>
                <w:rFonts w:cstheme="minorHAnsi"/>
                <w:color w:val="00B0F0"/>
                <w:sz w:val="20"/>
                <w:szCs w:val="20"/>
              </w:rPr>
            </w:pPr>
            <w:r w:rsidRPr="004E55BC">
              <w:rPr>
                <w:rFonts w:cstheme="minorHAnsi"/>
                <w:color w:val="00B0F0"/>
                <w:sz w:val="20"/>
                <w:szCs w:val="20"/>
              </w:rPr>
              <w:t xml:space="preserve">2006/07 </w:t>
            </w:r>
          </w:p>
        </w:tc>
        <w:tc>
          <w:tcPr>
            <w:tcW w:w="893" w:type="dxa"/>
            <w:tcBorders>
              <w:top w:val="nil"/>
              <w:left w:val="nil"/>
              <w:bottom w:val="single" w:sz="8" w:space="0" w:color="00B0F0"/>
              <w:right w:val="nil"/>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2010/11</w:t>
            </w:r>
          </w:p>
        </w:tc>
        <w:tc>
          <w:tcPr>
            <w:tcW w:w="893" w:type="dxa"/>
            <w:tcBorders>
              <w:top w:val="nil"/>
              <w:left w:val="nil"/>
              <w:bottom w:val="single" w:sz="8" w:space="0" w:color="00B0F0"/>
              <w:right w:val="nil"/>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2014/15</w:t>
            </w:r>
          </w:p>
        </w:tc>
        <w:tc>
          <w:tcPr>
            <w:tcW w:w="893" w:type="dxa"/>
            <w:tcBorders>
              <w:top w:val="nil"/>
              <w:left w:val="nil"/>
              <w:bottom w:val="single" w:sz="8" w:space="0" w:color="00B0F0"/>
              <w:right w:val="nil"/>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2017/18</w:t>
            </w:r>
          </w:p>
        </w:tc>
        <w:tc>
          <w:tcPr>
            <w:tcW w:w="894" w:type="dxa"/>
            <w:tcBorders>
              <w:top w:val="nil"/>
              <w:left w:val="nil"/>
              <w:bottom w:val="single" w:sz="8" w:space="0" w:color="00B0F0"/>
              <w:right w:val="nil"/>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2018/19</w:t>
            </w:r>
          </w:p>
        </w:tc>
        <w:tc>
          <w:tcPr>
            <w:tcW w:w="894" w:type="dxa"/>
            <w:tcBorders>
              <w:top w:val="nil"/>
              <w:left w:val="nil"/>
              <w:bottom w:val="single" w:sz="8" w:space="0" w:color="00B0F0"/>
              <w:right w:val="nil"/>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2019/20</w:t>
            </w:r>
          </w:p>
        </w:tc>
      </w:tr>
      <w:tr w:rsidR="007927AC" w:rsidRPr="00F852A3" w:rsidTr="00480F52">
        <w:tc>
          <w:tcPr>
            <w:tcW w:w="456" w:type="dxa"/>
            <w:tcBorders>
              <w:top w:val="single" w:sz="8" w:space="0" w:color="00B0F0"/>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4681" w:type="dxa"/>
            <w:tcBorders>
              <w:top w:val="single" w:sz="8" w:space="0" w:color="00B0F0"/>
              <w:left w:val="single" w:sz="8" w:space="0" w:color="00B0F0"/>
              <w:bottom w:val="nil"/>
              <w:right w:val="single" w:sz="8" w:space="0" w:color="00B0F0"/>
            </w:tcBorders>
            <w:vAlign w:val="center"/>
          </w:tcPr>
          <w:p w:rsidR="007927AC" w:rsidRPr="004E55BC" w:rsidRDefault="007927AC" w:rsidP="00480F52">
            <w:pPr>
              <w:rPr>
                <w:rFonts w:cstheme="minorHAnsi"/>
                <w:b/>
                <w:color w:val="00B0F0"/>
              </w:rPr>
            </w:pPr>
            <w:r w:rsidRPr="004E55BC">
              <w:rPr>
                <w:rFonts w:cstheme="minorHAnsi"/>
                <w:b/>
                <w:color w:val="00B0F0"/>
              </w:rPr>
              <w:t>AUSBILDUNG</w:t>
            </w:r>
          </w:p>
        </w:tc>
        <w:tc>
          <w:tcPr>
            <w:tcW w:w="893" w:type="dxa"/>
            <w:tcBorders>
              <w:top w:val="single" w:sz="8" w:space="0" w:color="00B0F0"/>
              <w:left w:val="single" w:sz="8" w:space="0" w:color="00B0F0"/>
              <w:bottom w:val="nil"/>
              <w:right w:val="single" w:sz="8" w:space="0" w:color="00B0F0"/>
            </w:tcBorders>
          </w:tcPr>
          <w:p w:rsidR="007927AC" w:rsidRPr="004E55BC" w:rsidRDefault="007927AC" w:rsidP="00480F52">
            <w:pPr>
              <w:ind w:right="-105"/>
              <w:rPr>
                <w:rFonts w:cstheme="minorHAnsi"/>
                <w:color w:val="00B0F0"/>
              </w:rPr>
            </w:pPr>
          </w:p>
        </w:tc>
        <w:tc>
          <w:tcPr>
            <w:tcW w:w="893" w:type="dxa"/>
            <w:tcBorders>
              <w:top w:val="single" w:sz="8" w:space="0" w:color="00B0F0"/>
              <w:left w:val="single" w:sz="8" w:space="0" w:color="00B0F0"/>
              <w:bottom w:val="nil"/>
              <w:right w:val="single" w:sz="8" w:space="0" w:color="00B0F0"/>
            </w:tcBorders>
          </w:tcPr>
          <w:p w:rsidR="007927AC" w:rsidRPr="004E55BC" w:rsidRDefault="007927AC" w:rsidP="00480F52">
            <w:pPr>
              <w:ind w:right="-105"/>
              <w:rPr>
                <w:rFonts w:cstheme="minorHAnsi"/>
                <w:color w:val="00B0F0"/>
              </w:rPr>
            </w:pPr>
          </w:p>
        </w:tc>
        <w:tc>
          <w:tcPr>
            <w:tcW w:w="893" w:type="dxa"/>
            <w:tcBorders>
              <w:top w:val="single" w:sz="8" w:space="0" w:color="00B0F0"/>
              <w:left w:val="single" w:sz="8" w:space="0" w:color="00B0F0"/>
              <w:bottom w:val="nil"/>
              <w:right w:val="single" w:sz="8" w:space="0" w:color="00B0F0"/>
            </w:tcBorders>
          </w:tcPr>
          <w:p w:rsidR="007927AC" w:rsidRPr="004E55BC" w:rsidRDefault="007927AC" w:rsidP="00480F52">
            <w:pPr>
              <w:ind w:right="-105"/>
              <w:rPr>
                <w:rFonts w:cstheme="minorHAnsi"/>
                <w:color w:val="00B0F0"/>
              </w:rPr>
            </w:pPr>
          </w:p>
        </w:tc>
        <w:tc>
          <w:tcPr>
            <w:tcW w:w="893" w:type="dxa"/>
            <w:tcBorders>
              <w:top w:val="single" w:sz="8" w:space="0" w:color="00B0F0"/>
              <w:left w:val="single" w:sz="8" w:space="0" w:color="00B0F0"/>
              <w:bottom w:val="nil"/>
              <w:right w:val="single" w:sz="8" w:space="0" w:color="00B0F0"/>
            </w:tcBorders>
          </w:tcPr>
          <w:p w:rsidR="007927AC" w:rsidRPr="004E55BC" w:rsidRDefault="007927AC" w:rsidP="00480F52">
            <w:pPr>
              <w:ind w:right="-105"/>
              <w:rPr>
                <w:rFonts w:cstheme="minorHAnsi"/>
                <w:color w:val="00B0F0"/>
              </w:rPr>
            </w:pPr>
          </w:p>
        </w:tc>
        <w:tc>
          <w:tcPr>
            <w:tcW w:w="893" w:type="dxa"/>
            <w:tcBorders>
              <w:top w:val="single" w:sz="8" w:space="0" w:color="00B0F0"/>
              <w:left w:val="single" w:sz="8" w:space="0" w:color="00B0F0"/>
              <w:bottom w:val="nil"/>
              <w:right w:val="single" w:sz="8" w:space="0" w:color="00B0F0"/>
            </w:tcBorders>
          </w:tcPr>
          <w:p w:rsidR="007927AC" w:rsidRPr="004E55BC" w:rsidRDefault="007927AC" w:rsidP="00480F52">
            <w:pPr>
              <w:ind w:right="-105"/>
              <w:rPr>
                <w:rFonts w:cstheme="minorHAnsi"/>
                <w:color w:val="00B0F0"/>
              </w:rPr>
            </w:pPr>
          </w:p>
        </w:tc>
        <w:tc>
          <w:tcPr>
            <w:tcW w:w="894" w:type="dxa"/>
            <w:tcBorders>
              <w:top w:val="single" w:sz="8" w:space="0" w:color="00B0F0"/>
              <w:left w:val="single" w:sz="8" w:space="0" w:color="00B0F0"/>
              <w:bottom w:val="nil"/>
              <w:right w:val="single" w:sz="8" w:space="0" w:color="00B0F0"/>
            </w:tcBorders>
          </w:tcPr>
          <w:p w:rsidR="007927AC" w:rsidRPr="004E55BC" w:rsidRDefault="007927AC" w:rsidP="00480F52">
            <w:pPr>
              <w:ind w:right="-105"/>
              <w:rPr>
                <w:rFonts w:cstheme="minorHAnsi"/>
                <w:color w:val="00B0F0"/>
              </w:rPr>
            </w:pPr>
          </w:p>
        </w:tc>
        <w:tc>
          <w:tcPr>
            <w:tcW w:w="894" w:type="dxa"/>
            <w:tcBorders>
              <w:top w:val="single" w:sz="8" w:space="0" w:color="00B0F0"/>
              <w:left w:val="single" w:sz="8" w:space="0" w:color="00B0F0"/>
              <w:bottom w:val="nil"/>
              <w:right w:val="single" w:sz="8" w:space="0" w:color="00B0F0"/>
            </w:tcBorders>
          </w:tcPr>
          <w:p w:rsidR="007927AC" w:rsidRPr="004E55BC" w:rsidRDefault="007927AC" w:rsidP="00480F52">
            <w:pPr>
              <w:ind w:right="-105"/>
              <w:rPr>
                <w:rFonts w:cstheme="minorHAnsi"/>
                <w:color w:val="00B0F0"/>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4681" w:type="dxa"/>
            <w:tcBorders>
              <w:top w:val="nil"/>
              <w:left w:val="single" w:sz="8" w:space="0" w:color="00B0F0"/>
              <w:bottom w:val="nil"/>
              <w:right w:val="single" w:sz="8" w:space="0" w:color="00B0F0"/>
            </w:tcBorders>
          </w:tcPr>
          <w:p w:rsidR="007927AC" w:rsidRPr="004E55BC" w:rsidRDefault="007927AC" w:rsidP="00480F52">
            <w:pPr>
              <w:rPr>
                <w:rFonts w:cstheme="minorHAnsi"/>
                <w:color w:val="00B0F0"/>
              </w:rPr>
            </w:pPr>
            <w:r w:rsidRPr="004E55BC">
              <w:rPr>
                <w:rFonts w:cstheme="minorHAnsi"/>
                <w:color w:val="00B0F0"/>
              </w:rPr>
              <w:t>BILDUNGSNIVEAU</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Höchste abgeschlossene Schulbildung: Pflichtschule</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60,7</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59,6</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58,2</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59,0</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58,1</w:t>
            </w: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58,2</w:t>
            </w: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Pr>
                <w:rFonts w:cstheme="minorHAnsi"/>
                <w:sz w:val="20"/>
                <w:szCs w:val="20"/>
              </w:rPr>
              <w:t>57,9</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Höchste abgeschlossene Schulbildung: Höhere Schule</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49,1</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51,5</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57,6</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52,8</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58,1</w:t>
            </w: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55,3</w:t>
            </w: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Pr>
                <w:rFonts w:cstheme="minorHAnsi"/>
                <w:sz w:val="20"/>
                <w:szCs w:val="20"/>
              </w:rPr>
              <w:t>56,1</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color w:val="B4005E"/>
              </w:rPr>
            </w:pPr>
            <w:r w:rsidRPr="004E55BC">
              <w:rPr>
                <w:rFonts w:cstheme="minorHAnsi"/>
                <w:color w:val="00B0F0"/>
              </w:rPr>
              <w:t>SCHUL- UND BERUFSWAHL</w:t>
            </w: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89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3</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Lehrberuf FriseurIn</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93,7</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96,9</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92,3</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93,2</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89,7</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86,6</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89,3</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4</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Lehrberuf TischlerIn</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 xml:space="preserve">  4,5</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 xml:space="preserve">  9,6</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 xml:space="preserve">  8,3</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17,3</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10,8</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12,6</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13,9</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5</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Technische und gewerbliche höhere Schulen</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15,5</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27,7</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32,9</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31,7</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29,0</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30,8</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30,5</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6</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Wirtschaftsberufliche höhere Schulen</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99,7</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100,0</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99,8</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100,0</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99,7</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99,8</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99,8</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b/>
                <w:color w:val="B4005E"/>
              </w:rPr>
            </w:pPr>
            <w:r w:rsidRPr="004E55BC">
              <w:rPr>
                <w:rFonts w:cstheme="minorHAnsi"/>
                <w:b/>
                <w:color w:val="00B0F0"/>
              </w:rPr>
              <w:t>ERWERBSARBEIT</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ERWERBSTÄTIGE GESAMT</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7</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Erwerbstätige</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41,5</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43,8</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44,8</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46,2</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45,8</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46,2</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46,3</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color w:val="B4005E"/>
              </w:rPr>
            </w:pPr>
            <w:r w:rsidRPr="004E55BC">
              <w:rPr>
                <w:rFonts w:cstheme="minorHAnsi"/>
                <w:color w:val="00B0F0"/>
              </w:rPr>
              <w:t>STELLUNG IM BERUF</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8</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Unselbstständig Erwerbstätige</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42,2</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45,6</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47,0</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47,8</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47,2</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47,2</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48,0</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9</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Selbstständig Erwerbstätige</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25,2</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26,6</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24,2</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31,4</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33,2</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32,8</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35,0</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10</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Mithelfende Familienangehörige</w:t>
            </w:r>
            <w:r w:rsidRPr="00F852A3">
              <w:rPr>
                <w:rFonts w:cstheme="minorHAnsi"/>
                <w:vertAlign w:val="superscript"/>
              </w:rPr>
              <w:t>*)</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75,8</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71,4</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vertAlign w:val="superscript"/>
              </w:rPr>
            </w:pPr>
            <w:r w:rsidRPr="00F852A3">
              <w:rPr>
                <w:rFonts w:cstheme="minorHAnsi"/>
              </w:rPr>
              <w:t>53,9</w:t>
            </w:r>
            <w:r w:rsidRPr="00F852A3">
              <w:rPr>
                <w:rFonts w:cstheme="minorHAnsi"/>
                <w:vertAlign w:val="superscript"/>
              </w:rPr>
              <w:t>*)</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vertAlign w:val="superscript"/>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color w:val="B4005E"/>
              </w:rPr>
            </w:pPr>
            <w:r w:rsidRPr="004E55BC">
              <w:rPr>
                <w:rFonts w:cstheme="minorHAnsi"/>
                <w:color w:val="00B0F0"/>
              </w:rPr>
              <w:t>ARBEITSZEIT</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10</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vertAlign w:val="superscript"/>
              </w:rPr>
            </w:pPr>
            <w:r w:rsidRPr="00F852A3">
              <w:rPr>
                <w:rFonts w:cstheme="minorHAnsi"/>
              </w:rPr>
              <w:t>Arbeitsvolumen</w:t>
            </w:r>
            <w:r w:rsidRPr="00F852A3">
              <w:rPr>
                <w:rFonts w:cstheme="minorHAnsi"/>
                <w:vertAlign w:val="superscript"/>
              </w:rPr>
              <w:t>**)</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36,6</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36,9</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36,9</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38,6</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11</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Vollzeitbeschäftigte</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30,6</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30,3</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30,0</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31,1</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31,2</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30,7</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31,5</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12</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Teilzeitbeschäftigte</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87,1</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87,3</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85,6</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84,9</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82,8</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84,9</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83,2</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13</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Geringfügig Beschäftigte</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74,5</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71,3</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70,2</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68,4</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68,1</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67,8</w:t>
            </w:r>
          </w:p>
        </w:tc>
      </w:tr>
      <w:tr w:rsidR="007927AC" w:rsidRPr="00F852A3" w:rsidTr="00480F52">
        <w:tc>
          <w:tcPr>
            <w:tcW w:w="456"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14</w:t>
            </w:r>
          </w:p>
        </w:tc>
        <w:tc>
          <w:tcPr>
            <w:tcW w:w="4681"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Arbeitslose</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52,0</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49,5</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48,8</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47,0</w:t>
            </w:r>
          </w:p>
        </w:tc>
        <w:tc>
          <w:tcPr>
            <w:tcW w:w="893"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45,9</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sidRPr="00F852A3">
              <w:rPr>
                <w:rFonts w:cstheme="minorHAnsi"/>
              </w:rPr>
              <w:t>47,8</w:t>
            </w:r>
          </w:p>
        </w:tc>
        <w:tc>
          <w:tcPr>
            <w:tcW w:w="894" w:type="dxa"/>
            <w:tcBorders>
              <w:top w:val="nil"/>
              <w:left w:val="single" w:sz="8" w:space="0" w:color="00B0F0"/>
              <w:bottom w:val="nil"/>
              <w:right w:val="single" w:sz="8" w:space="0" w:color="00B0F0"/>
            </w:tcBorders>
          </w:tcPr>
          <w:p w:rsidR="007927AC" w:rsidRPr="00F852A3" w:rsidRDefault="007927AC" w:rsidP="00480F52">
            <w:pPr>
              <w:ind w:right="-105"/>
              <w:jc w:val="center"/>
              <w:rPr>
                <w:rFonts w:cstheme="minorHAnsi"/>
              </w:rPr>
            </w:pPr>
            <w:r>
              <w:rPr>
                <w:rFonts w:cstheme="minorHAnsi"/>
              </w:rPr>
              <w:t>45,6</w:t>
            </w:r>
          </w:p>
        </w:tc>
      </w:tr>
      <w:tr w:rsidR="007927AC" w:rsidRPr="00F852A3" w:rsidTr="00480F52">
        <w:tc>
          <w:tcPr>
            <w:tcW w:w="456" w:type="dxa"/>
            <w:tcBorders>
              <w:top w:val="nil"/>
              <w:left w:val="single" w:sz="8" w:space="0" w:color="00B0F0"/>
              <w:bottom w:val="single" w:sz="8" w:space="0" w:color="00B0F0"/>
              <w:right w:val="single" w:sz="8" w:space="0" w:color="00B0F0"/>
            </w:tcBorders>
          </w:tcPr>
          <w:p w:rsidR="007927AC" w:rsidRPr="00F852A3" w:rsidRDefault="007927AC" w:rsidP="00480F52">
            <w:pPr>
              <w:jc w:val="center"/>
              <w:rPr>
                <w:rFonts w:cstheme="minorHAnsi"/>
                <w:sz w:val="14"/>
                <w:szCs w:val="14"/>
              </w:rPr>
            </w:pPr>
          </w:p>
        </w:tc>
        <w:tc>
          <w:tcPr>
            <w:tcW w:w="4681" w:type="dxa"/>
            <w:tcBorders>
              <w:top w:val="nil"/>
              <w:left w:val="single" w:sz="8" w:space="0" w:color="00B0F0"/>
              <w:bottom w:val="single" w:sz="8" w:space="0" w:color="00B0F0"/>
              <w:right w:val="single" w:sz="8" w:space="0" w:color="00B0F0"/>
            </w:tcBorders>
          </w:tcPr>
          <w:p w:rsidR="007927AC" w:rsidRPr="00F852A3" w:rsidRDefault="007927AC" w:rsidP="00480F52">
            <w:pPr>
              <w:rPr>
                <w:rFonts w:cstheme="minorHAnsi"/>
                <w:sz w:val="14"/>
                <w:szCs w:val="14"/>
              </w:rPr>
            </w:pPr>
          </w:p>
        </w:tc>
        <w:tc>
          <w:tcPr>
            <w:tcW w:w="893" w:type="dxa"/>
            <w:tcBorders>
              <w:top w:val="nil"/>
              <w:left w:val="single" w:sz="8" w:space="0" w:color="00B0F0"/>
              <w:bottom w:val="single" w:sz="8" w:space="0" w:color="00B0F0"/>
              <w:right w:val="single" w:sz="8" w:space="0" w:color="00B0F0"/>
            </w:tcBorders>
          </w:tcPr>
          <w:p w:rsidR="007927AC" w:rsidRPr="00F852A3" w:rsidRDefault="007927AC" w:rsidP="00480F52">
            <w:pPr>
              <w:ind w:right="-105"/>
              <w:jc w:val="center"/>
              <w:rPr>
                <w:rFonts w:cstheme="minorHAnsi"/>
                <w:sz w:val="14"/>
                <w:szCs w:val="14"/>
              </w:rPr>
            </w:pPr>
          </w:p>
        </w:tc>
        <w:tc>
          <w:tcPr>
            <w:tcW w:w="893" w:type="dxa"/>
            <w:tcBorders>
              <w:top w:val="nil"/>
              <w:left w:val="single" w:sz="8" w:space="0" w:color="00B0F0"/>
              <w:bottom w:val="single" w:sz="8" w:space="0" w:color="00B0F0"/>
              <w:right w:val="single" w:sz="8" w:space="0" w:color="00B0F0"/>
            </w:tcBorders>
          </w:tcPr>
          <w:p w:rsidR="007927AC" w:rsidRPr="00F852A3" w:rsidRDefault="007927AC" w:rsidP="00480F52">
            <w:pPr>
              <w:ind w:right="-105"/>
              <w:jc w:val="center"/>
              <w:rPr>
                <w:rFonts w:cstheme="minorHAnsi"/>
                <w:sz w:val="14"/>
                <w:szCs w:val="14"/>
              </w:rPr>
            </w:pPr>
          </w:p>
        </w:tc>
        <w:tc>
          <w:tcPr>
            <w:tcW w:w="893" w:type="dxa"/>
            <w:tcBorders>
              <w:top w:val="nil"/>
              <w:left w:val="single" w:sz="8" w:space="0" w:color="00B0F0"/>
              <w:bottom w:val="single" w:sz="8" w:space="0" w:color="00B0F0"/>
              <w:right w:val="single" w:sz="8" w:space="0" w:color="00B0F0"/>
            </w:tcBorders>
          </w:tcPr>
          <w:p w:rsidR="007927AC" w:rsidRPr="00F852A3" w:rsidRDefault="007927AC" w:rsidP="00480F52">
            <w:pPr>
              <w:ind w:right="-105"/>
              <w:jc w:val="center"/>
              <w:rPr>
                <w:rFonts w:cstheme="minorHAnsi"/>
                <w:sz w:val="14"/>
                <w:szCs w:val="14"/>
              </w:rPr>
            </w:pPr>
          </w:p>
        </w:tc>
        <w:tc>
          <w:tcPr>
            <w:tcW w:w="893" w:type="dxa"/>
            <w:tcBorders>
              <w:top w:val="nil"/>
              <w:left w:val="single" w:sz="8" w:space="0" w:color="00B0F0"/>
              <w:bottom w:val="single" w:sz="8" w:space="0" w:color="00B0F0"/>
              <w:right w:val="single" w:sz="8" w:space="0" w:color="00B0F0"/>
            </w:tcBorders>
          </w:tcPr>
          <w:p w:rsidR="007927AC" w:rsidRPr="00F852A3" w:rsidRDefault="007927AC" w:rsidP="00480F52">
            <w:pPr>
              <w:ind w:right="-105"/>
              <w:jc w:val="center"/>
              <w:rPr>
                <w:rFonts w:cstheme="minorHAnsi"/>
                <w:sz w:val="14"/>
                <w:szCs w:val="14"/>
              </w:rPr>
            </w:pPr>
          </w:p>
        </w:tc>
        <w:tc>
          <w:tcPr>
            <w:tcW w:w="893" w:type="dxa"/>
            <w:tcBorders>
              <w:top w:val="nil"/>
              <w:left w:val="single" w:sz="8" w:space="0" w:color="00B0F0"/>
              <w:bottom w:val="single" w:sz="8" w:space="0" w:color="00B0F0"/>
              <w:right w:val="single" w:sz="8" w:space="0" w:color="00B0F0"/>
            </w:tcBorders>
          </w:tcPr>
          <w:p w:rsidR="007927AC" w:rsidRPr="00F852A3" w:rsidRDefault="007927AC" w:rsidP="00480F52">
            <w:pPr>
              <w:ind w:right="-105"/>
              <w:jc w:val="center"/>
              <w:rPr>
                <w:rFonts w:cstheme="minorHAnsi"/>
                <w:sz w:val="14"/>
                <w:szCs w:val="14"/>
              </w:rPr>
            </w:pPr>
          </w:p>
        </w:tc>
        <w:tc>
          <w:tcPr>
            <w:tcW w:w="894" w:type="dxa"/>
            <w:tcBorders>
              <w:top w:val="nil"/>
              <w:left w:val="single" w:sz="8" w:space="0" w:color="00B0F0"/>
              <w:bottom w:val="single" w:sz="8" w:space="0" w:color="00B0F0"/>
              <w:right w:val="single" w:sz="8" w:space="0" w:color="00B0F0"/>
            </w:tcBorders>
          </w:tcPr>
          <w:p w:rsidR="007927AC" w:rsidRPr="00F852A3" w:rsidRDefault="007927AC" w:rsidP="00480F52">
            <w:pPr>
              <w:ind w:right="-105"/>
              <w:jc w:val="center"/>
              <w:rPr>
                <w:rFonts w:cstheme="minorHAnsi"/>
                <w:sz w:val="14"/>
                <w:szCs w:val="14"/>
              </w:rPr>
            </w:pPr>
          </w:p>
        </w:tc>
        <w:tc>
          <w:tcPr>
            <w:tcW w:w="894" w:type="dxa"/>
            <w:tcBorders>
              <w:top w:val="nil"/>
              <w:left w:val="single" w:sz="8" w:space="0" w:color="00B0F0"/>
              <w:bottom w:val="single" w:sz="8" w:space="0" w:color="00B0F0"/>
              <w:right w:val="single" w:sz="8" w:space="0" w:color="00B0F0"/>
            </w:tcBorders>
          </w:tcPr>
          <w:p w:rsidR="007927AC" w:rsidRPr="00F852A3" w:rsidRDefault="007927AC" w:rsidP="00480F52">
            <w:pPr>
              <w:ind w:right="-105"/>
              <w:jc w:val="center"/>
              <w:rPr>
                <w:rFonts w:cstheme="minorHAnsi"/>
                <w:sz w:val="14"/>
                <w:szCs w:val="14"/>
              </w:rPr>
            </w:pPr>
          </w:p>
        </w:tc>
      </w:tr>
    </w:tbl>
    <w:p w:rsidR="007927AC" w:rsidRDefault="007927AC" w:rsidP="007927AC">
      <w:pPr>
        <w:pStyle w:val="QuelleZusatztext"/>
        <w:ind w:left="142"/>
        <w:rPr>
          <w:rFonts w:cstheme="minorHAnsi"/>
          <w:sz w:val="15"/>
          <w:szCs w:val="15"/>
        </w:rPr>
      </w:pPr>
    </w:p>
    <w:p w:rsidR="007927AC" w:rsidRPr="00F852A3" w:rsidRDefault="007927AC" w:rsidP="007927AC">
      <w:pPr>
        <w:pStyle w:val="QuelleZusatztext"/>
        <w:ind w:left="142"/>
        <w:rPr>
          <w:rFonts w:cstheme="minorHAnsi"/>
          <w:sz w:val="15"/>
          <w:szCs w:val="15"/>
        </w:rPr>
      </w:pPr>
    </w:p>
    <w:p w:rsidR="007927AC" w:rsidRPr="00F852A3" w:rsidRDefault="007927AC" w:rsidP="007927AC">
      <w:pPr>
        <w:pStyle w:val="QuelleZusatztext"/>
        <w:ind w:left="142"/>
        <w:rPr>
          <w:rFonts w:cstheme="minorHAnsi"/>
          <w:sz w:val="15"/>
          <w:szCs w:val="15"/>
        </w:rPr>
      </w:pPr>
      <w:r w:rsidRPr="00F852A3">
        <w:rPr>
          <w:rFonts w:cstheme="minorHAnsi"/>
          <w:sz w:val="15"/>
          <w:szCs w:val="15"/>
        </w:rPr>
        <w:t xml:space="preserve">*) Die Zahl der Mithelfenden Familienangehörigen ist inzwischen so gering, dass es seit 2012 keine nach Geschlecht aufgeschlüsselten </w:t>
      </w:r>
    </w:p>
    <w:p w:rsidR="007927AC" w:rsidRPr="00F852A3" w:rsidRDefault="007927AC" w:rsidP="007927AC">
      <w:pPr>
        <w:pStyle w:val="QuelleZusatztext"/>
        <w:ind w:left="142"/>
        <w:rPr>
          <w:rFonts w:cstheme="minorHAnsi"/>
          <w:sz w:val="15"/>
          <w:szCs w:val="15"/>
        </w:rPr>
      </w:pPr>
      <w:r w:rsidRPr="00F852A3">
        <w:rPr>
          <w:rFonts w:cstheme="minorHAnsi"/>
          <w:sz w:val="15"/>
          <w:szCs w:val="15"/>
        </w:rPr>
        <w:t xml:space="preserve">    Mikrozensus-Daten für Vorarlberg gibt.</w:t>
      </w:r>
    </w:p>
    <w:p w:rsidR="007927AC" w:rsidRPr="00F852A3" w:rsidRDefault="007927AC" w:rsidP="007927AC">
      <w:pPr>
        <w:pStyle w:val="QuelleZusatztext"/>
        <w:ind w:left="142"/>
        <w:rPr>
          <w:rFonts w:cstheme="minorHAnsi"/>
          <w:sz w:val="15"/>
          <w:szCs w:val="15"/>
        </w:rPr>
      </w:pPr>
      <w:r w:rsidRPr="00F852A3">
        <w:rPr>
          <w:rFonts w:cstheme="minorHAnsi"/>
          <w:sz w:val="15"/>
          <w:szCs w:val="15"/>
        </w:rPr>
        <w:t>**) Der neue Indikator 10 gibt Auskunft über den Anteil der Frauen am Arbeitsvolumen (den tatsächlich pro Jahr geleisteten Erwerbs-Arbeitsstunden).</w:t>
      </w:r>
    </w:p>
    <w:p w:rsidR="00125D51" w:rsidRPr="00296FC3" w:rsidRDefault="00125D51" w:rsidP="00296FC3">
      <w:pPr>
        <w:rPr>
          <w:rFonts w:cs="Tahoma"/>
          <w:b/>
          <w:color w:val="00B0F0"/>
          <w:sz w:val="20"/>
        </w:rPr>
      </w:pPr>
      <w:r w:rsidRPr="00296FC3">
        <w:rPr>
          <w:rFonts w:cs="Tahoma"/>
          <w:b/>
          <w:color w:val="00B0F0"/>
          <w:sz w:val="20"/>
        </w:rPr>
        <w:br w:type="page"/>
      </w:r>
    </w:p>
    <w:p w:rsidR="008420BA" w:rsidRPr="00296FC3" w:rsidRDefault="008420BA" w:rsidP="00296FC3">
      <w:pPr>
        <w:rPr>
          <w:rFonts w:cs="Tahoma"/>
          <w:b/>
          <w:color w:val="00B0F0"/>
          <w:sz w:val="20"/>
        </w:rPr>
      </w:pPr>
    </w:p>
    <w:p w:rsidR="006D1AD6" w:rsidRPr="00296FC3" w:rsidRDefault="006D1AD6" w:rsidP="00296FC3">
      <w:pPr>
        <w:pStyle w:val="QuelleZusatztext"/>
        <w:spacing w:line="276" w:lineRule="auto"/>
        <w:rPr>
          <w:sz w:val="10"/>
          <w:szCs w:val="10"/>
        </w:rPr>
      </w:pPr>
    </w:p>
    <w:tbl>
      <w:tblPr>
        <w:tblStyle w:val="Tabellenraster"/>
        <w:tblpPr w:leftFromText="141" w:rightFromText="141" w:vertAnchor="text" w:horzAnchor="margin" w:tblpXSpec="center" w:tblpY="291"/>
        <w:tblW w:w="11481" w:type="dxa"/>
        <w:tblInd w:w="0" w:type="dxa"/>
        <w:tblLayout w:type="fixed"/>
        <w:tblLook w:val="04A0" w:firstRow="1" w:lastRow="0" w:firstColumn="1" w:lastColumn="0" w:noHBand="0" w:noVBand="1"/>
      </w:tblPr>
      <w:tblGrid>
        <w:gridCol w:w="511"/>
        <w:gridCol w:w="4687"/>
        <w:gridCol w:w="860"/>
        <w:gridCol w:w="904"/>
        <w:gridCol w:w="904"/>
        <w:gridCol w:w="903"/>
        <w:gridCol w:w="904"/>
        <w:gridCol w:w="904"/>
        <w:gridCol w:w="904"/>
      </w:tblGrid>
      <w:tr w:rsidR="007927AC" w:rsidRPr="00F852A3" w:rsidTr="00480F52">
        <w:trPr>
          <w:trHeight w:val="221"/>
        </w:trPr>
        <w:tc>
          <w:tcPr>
            <w:tcW w:w="511" w:type="dxa"/>
            <w:tcBorders>
              <w:top w:val="nil"/>
              <w:left w:val="nil"/>
              <w:bottom w:val="nil"/>
              <w:right w:val="nil"/>
            </w:tcBorders>
          </w:tcPr>
          <w:p w:rsidR="007927AC" w:rsidRPr="004E55BC" w:rsidRDefault="007927AC" w:rsidP="00480F52">
            <w:pPr>
              <w:jc w:val="center"/>
              <w:rPr>
                <w:rFonts w:cstheme="minorHAnsi"/>
                <w:color w:val="00B0F0"/>
              </w:rPr>
            </w:pPr>
          </w:p>
        </w:tc>
        <w:tc>
          <w:tcPr>
            <w:tcW w:w="4687" w:type="dxa"/>
            <w:tcBorders>
              <w:top w:val="nil"/>
              <w:left w:val="nil"/>
              <w:bottom w:val="nil"/>
              <w:right w:val="nil"/>
            </w:tcBorders>
            <w:vAlign w:val="center"/>
          </w:tcPr>
          <w:p w:rsidR="007927AC" w:rsidRPr="004E55BC" w:rsidRDefault="007927AC" w:rsidP="00480F52">
            <w:pPr>
              <w:rPr>
                <w:rFonts w:cstheme="minorHAnsi"/>
                <w:color w:val="00B0F0"/>
              </w:rPr>
            </w:pPr>
          </w:p>
        </w:tc>
        <w:tc>
          <w:tcPr>
            <w:tcW w:w="6283" w:type="dxa"/>
            <w:gridSpan w:val="7"/>
            <w:tcBorders>
              <w:top w:val="nil"/>
              <w:left w:val="nil"/>
              <w:bottom w:val="nil"/>
              <w:right w:val="nil"/>
            </w:tcBorders>
            <w:vAlign w:val="center"/>
          </w:tcPr>
          <w:p w:rsidR="007927AC" w:rsidRPr="004E55BC" w:rsidRDefault="007927AC" w:rsidP="00480F52">
            <w:pPr>
              <w:pStyle w:val="TextTabellenbeschriftunggro"/>
              <w:rPr>
                <w:rFonts w:cstheme="minorHAnsi"/>
                <w:b/>
                <w:color w:val="00B0F0"/>
                <w:sz w:val="20"/>
                <w:szCs w:val="20"/>
              </w:rPr>
            </w:pPr>
            <w:r w:rsidRPr="004E55BC">
              <w:rPr>
                <w:rFonts w:cstheme="minorHAnsi"/>
                <w:b/>
                <w:color w:val="00B0F0"/>
                <w:sz w:val="20"/>
                <w:szCs w:val="20"/>
              </w:rPr>
              <w:t>Frauenanteil in %</w:t>
            </w:r>
          </w:p>
        </w:tc>
      </w:tr>
      <w:tr w:rsidR="007927AC" w:rsidRPr="00F852A3" w:rsidTr="00480F52">
        <w:trPr>
          <w:trHeight w:val="244"/>
        </w:trPr>
        <w:tc>
          <w:tcPr>
            <w:tcW w:w="511" w:type="dxa"/>
            <w:tcBorders>
              <w:top w:val="nil"/>
              <w:left w:val="nil"/>
              <w:bottom w:val="single" w:sz="8" w:space="0" w:color="00B0F0"/>
              <w:right w:val="nil"/>
            </w:tcBorders>
          </w:tcPr>
          <w:p w:rsidR="007927AC" w:rsidRPr="004E55BC" w:rsidRDefault="007927AC" w:rsidP="00480F52">
            <w:pPr>
              <w:jc w:val="center"/>
              <w:rPr>
                <w:rFonts w:cstheme="minorHAnsi"/>
                <w:color w:val="00B0F0"/>
              </w:rPr>
            </w:pPr>
          </w:p>
        </w:tc>
        <w:tc>
          <w:tcPr>
            <w:tcW w:w="4687" w:type="dxa"/>
            <w:tcBorders>
              <w:top w:val="nil"/>
              <w:left w:val="nil"/>
              <w:bottom w:val="single" w:sz="8" w:space="0" w:color="00B0F0"/>
              <w:right w:val="nil"/>
            </w:tcBorders>
            <w:vAlign w:val="center"/>
          </w:tcPr>
          <w:p w:rsidR="007927AC" w:rsidRPr="004E55BC" w:rsidRDefault="007927AC" w:rsidP="00480F52">
            <w:pPr>
              <w:rPr>
                <w:rFonts w:cstheme="minorHAnsi"/>
                <w:color w:val="00B0F0"/>
              </w:rPr>
            </w:pPr>
          </w:p>
        </w:tc>
        <w:tc>
          <w:tcPr>
            <w:tcW w:w="860" w:type="dxa"/>
            <w:tcBorders>
              <w:top w:val="nil"/>
              <w:left w:val="nil"/>
              <w:bottom w:val="single" w:sz="8" w:space="0" w:color="00B0F0"/>
              <w:right w:val="nil"/>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2000</w:t>
            </w:r>
          </w:p>
        </w:tc>
        <w:tc>
          <w:tcPr>
            <w:tcW w:w="904" w:type="dxa"/>
            <w:tcBorders>
              <w:top w:val="nil"/>
              <w:left w:val="nil"/>
              <w:bottom w:val="single" w:sz="8" w:space="0" w:color="00B0F0"/>
              <w:right w:val="nil"/>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2006/07</w:t>
            </w:r>
          </w:p>
        </w:tc>
        <w:tc>
          <w:tcPr>
            <w:tcW w:w="904" w:type="dxa"/>
            <w:tcBorders>
              <w:top w:val="nil"/>
              <w:left w:val="nil"/>
              <w:bottom w:val="single" w:sz="8" w:space="0" w:color="00B0F0"/>
              <w:right w:val="nil"/>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2010/11</w:t>
            </w:r>
          </w:p>
        </w:tc>
        <w:tc>
          <w:tcPr>
            <w:tcW w:w="903" w:type="dxa"/>
            <w:tcBorders>
              <w:top w:val="nil"/>
              <w:left w:val="nil"/>
              <w:bottom w:val="single" w:sz="8" w:space="0" w:color="00B0F0"/>
              <w:right w:val="nil"/>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2014/15</w:t>
            </w:r>
          </w:p>
        </w:tc>
        <w:tc>
          <w:tcPr>
            <w:tcW w:w="904" w:type="dxa"/>
            <w:tcBorders>
              <w:top w:val="nil"/>
              <w:left w:val="nil"/>
              <w:bottom w:val="single" w:sz="8" w:space="0" w:color="00B0F0"/>
              <w:right w:val="nil"/>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2017/18</w:t>
            </w:r>
          </w:p>
        </w:tc>
        <w:tc>
          <w:tcPr>
            <w:tcW w:w="904" w:type="dxa"/>
            <w:tcBorders>
              <w:top w:val="nil"/>
              <w:left w:val="nil"/>
              <w:bottom w:val="single" w:sz="8" w:space="0" w:color="00B0F0"/>
              <w:right w:val="nil"/>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2018/19</w:t>
            </w:r>
          </w:p>
        </w:tc>
        <w:tc>
          <w:tcPr>
            <w:tcW w:w="904" w:type="dxa"/>
            <w:tcBorders>
              <w:top w:val="nil"/>
              <w:left w:val="nil"/>
              <w:bottom w:val="single" w:sz="8" w:space="0" w:color="00B0F0"/>
              <w:right w:val="nil"/>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2019/20</w:t>
            </w:r>
          </w:p>
        </w:tc>
      </w:tr>
      <w:tr w:rsidR="007927AC" w:rsidRPr="00F852A3" w:rsidTr="00480F52">
        <w:trPr>
          <w:trHeight w:val="244"/>
        </w:trPr>
        <w:tc>
          <w:tcPr>
            <w:tcW w:w="511" w:type="dxa"/>
            <w:tcBorders>
              <w:top w:val="single" w:sz="8" w:space="0" w:color="00B0F0"/>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4687" w:type="dxa"/>
            <w:tcBorders>
              <w:top w:val="single" w:sz="8" w:space="0" w:color="00B0F0"/>
              <w:left w:val="single" w:sz="8" w:space="0" w:color="00B0F0"/>
              <w:bottom w:val="nil"/>
              <w:right w:val="single" w:sz="8" w:space="0" w:color="00B0F0"/>
            </w:tcBorders>
            <w:vAlign w:val="center"/>
          </w:tcPr>
          <w:p w:rsidR="007927AC" w:rsidRPr="004E55BC" w:rsidRDefault="007927AC" w:rsidP="00480F52">
            <w:pPr>
              <w:rPr>
                <w:rFonts w:cstheme="minorHAnsi"/>
                <w:color w:val="00B0F0"/>
              </w:rPr>
            </w:pPr>
          </w:p>
        </w:tc>
        <w:tc>
          <w:tcPr>
            <w:tcW w:w="860" w:type="dxa"/>
            <w:tcBorders>
              <w:top w:val="single" w:sz="8" w:space="0" w:color="00B0F0"/>
              <w:left w:val="single" w:sz="8" w:space="0" w:color="00B0F0"/>
              <w:bottom w:val="nil"/>
              <w:right w:val="single" w:sz="8" w:space="0" w:color="00B0F0"/>
            </w:tcBorders>
          </w:tcPr>
          <w:p w:rsidR="007927AC" w:rsidRPr="004E55BC" w:rsidRDefault="007927AC" w:rsidP="00480F52">
            <w:pPr>
              <w:rPr>
                <w:rFonts w:cstheme="minorHAnsi"/>
                <w:color w:val="00B0F0"/>
              </w:rPr>
            </w:pPr>
          </w:p>
        </w:tc>
        <w:tc>
          <w:tcPr>
            <w:tcW w:w="904" w:type="dxa"/>
            <w:tcBorders>
              <w:top w:val="single" w:sz="8" w:space="0" w:color="00B0F0"/>
              <w:left w:val="single" w:sz="8" w:space="0" w:color="00B0F0"/>
              <w:bottom w:val="nil"/>
              <w:right w:val="single" w:sz="8" w:space="0" w:color="00B0F0"/>
            </w:tcBorders>
          </w:tcPr>
          <w:p w:rsidR="007927AC" w:rsidRPr="004E55BC" w:rsidRDefault="007927AC" w:rsidP="00480F52">
            <w:pPr>
              <w:rPr>
                <w:rFonts w:cstheme="minorHAnsi"/>
                <w:color w:val="00B0F0"/>
              </w:rPr>
            </w:pPr>
          </w:p>
        </w:tc>
        <w:tc>
          <w:tcPr>
            <w:tcW w:w="904" w:type="dxa"/>
            <w:tcBorders>
              <w:top w:val="single" w:sz="8" w:space="0" w:color="00B0F0"/>
              <w:left w:val="single" w:sz="8" w:space="0" w:color="00B0F0"/>
              <w:bottom w:val="nil"/>
              <w:right w:val="single" w:sz="8" w:space="0" w:color="00B0F0"/>
            </w:tcBorders>
          </w:tcPr>
          <w:p w:rsidR="007927AC" w:rsidRPr="004E55BC" w:rsidRDefault="007927AC" w:rsidP="00480F52">
            <w:pPr>
              <w:rPr>
                <w:rFonts w:cstheme="minorHAnsi"/>
                <w:color w:val="00B0F0"/>
              </w:rPr>
            </w:pPr>
          </w:p>
        </w:tc>
        <w:tc>
          <w:tcPr>
            <w:tcW w:w="903" w:type="dxa"/>
            <w:tcBorders>
              <w:top w:val="single" w:sz="8" w:space="0" w:color="00B0F0"/>
              <w:left w:val="single" w:sz="8" w:space="0" w:color="00B0F0"/>
              <w:bottom w:val="nil"/>
              <w:right w:val="single" w:sz="8" w:space="0" w:color="00B0F0"/>
            </w:tcBorders>
          </w:tcPr>
          <w:p w:rsidR="007927AC" w:rsidRPr="004E55BC" w:rsidRDefault="007927AC" w:rsidP="00480F52">
            <w:pPr>
              <w:rPr>
                <w:rFonts w:cstheme="minorHAnsi"/>
                <w:color w:val="00B0F0"/>
              </w:rPr>
            </w:pPr>
          </w:p>
        </w:tc>
        <w:tc>
          <w:tcPr>
            <w:tcW w:w="904" w:type="dxa"/>
            <w:tcBorders>
              <w:top w:val="single" w:sz="8" w:space="0" w:color="00B0F0"/>
              <w:left w:val="single" w:sz="8" w:space="0" w:color="00B0F0"/>
              <w:bottom w:val="nil"/>
              <w:right w:val="single" w:sz="8" w:space="0" w:color="00B0F0"/>
            </w:tcBorders>
          </w:tcPr>
          <w:p w:rsidR="007927AC" w:rsidRPr="004E55BC" w:rsidRDefault="007927AC" w:rsidP="00480F52">
            <w:pPr>
              <w:rPr>
                <w:rFonts w:cstheme="minorHAnsi"/>
                <w:color w:val="00B0F0"/>
              </w:rPr>
            </w:pPr>
          </w:p>
        </w:tc>
        <w:tc>
          <w:tcPr>
            <w:tcW w:w="904" w:type="dxa"/>
            <w:tcBorders>
              <w:top w:val="single" w:sz="8" w:space="0" w:color="00B0F0"/>
              <w:left w:val="single" w:sz="8" w:space="0" w:color="00B0F0"/>
              <w:bottom w:val="nil"/>
              <w:right w:val="single" w:sz="8" w:space="0" w:color="00B0F0"/>
            </w:tcBorders>
          </w:tcPr>
          <w:p w:rsidR="007927AC" w:rsidRPr="004E55BC" w:rsidRDefault="007927AC" w:rsidP="00480F52">
            <w:pPr>
              <w:rPr>
                <w:rFonts w:cstheme="minorHAnsi"/>
                <w:color w:val="00B0F0"/>
              </w:rPr>
            </w:pPr>
          </w:p>
        </w:tc>
        <w:tc>
          <w:tcPr>
            <w:tcW w:w="904" w:type="dxa"/>
            <w:tcBorders>
              <w:top w:val="single" w:sz="8" w:space="0" w:color="00B0F0"/>
              <w:left w:val="single" w:sz="8" w:space="0" w:color="00B0F0"/>
              <w:bottom w:val="nil"/>
              <w:right w:val="single" w:sz="8" w:space="0" w:color="00B0F0"/>
            </w:tcBorders>
          </w:tcPr>
          <w:p w:rsidR="007927AC" w:rsidRPr="004E55BC" w:rsidRDefault="007927AC" w:rsidP="00480F52">
            <w:pPr>
              <w:rPr>
                <w:rFonts w:cstheme="minorHAnsi"/>
                <w:color w:val="00B0F0"/>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4687" w:type="dxa"/>
            <w:tcBorders>
              <w:top w:val="nil"/>
              <w:left w:val="single" w:sz="8" w:space="0" w:color="00B0F0"/>
              <w:bottom w:val="nil"/>
              <w:right w:val="single" w:sz="8" w:space="0" w:color="00B0F0"/>
            </w:tcBorders>
          </w:tcPr>
          <w:p w:rsidR="007927AC" w:rsidRPr="004E55BC" w:rsidRDefault="007927AC" w:rsidP="00480F52">
            <w:pPr>
              <w:rPr>
                <w:rFonts w:cstheme="minorHAnsi"/>
                <w:color w:val="00B0F0"/>
              </w:rPr>
            </w:pPr>
            <w:r w:rsidRPr="004E55BC">
              <w:rPr>
                <w:rFonts w:cstheme="minorHAnsi"/>
                <w:color w:val="00B0F0"/>
              </w:rPr>
              <w:t>LANDESBEDIENSTETE</w:t>
            </w:r>
          </w:p>
        </w:tc>
        <w:tc>
          <w:tcPr>
            <w:tcW w:w="860"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904"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904"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903"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904"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904"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c>
          <w:tcPr>
            <w:tcW w:w="904" w:type="dxa"/>
            <w:tcBorders>
              <w:top w:val="nil"/>
              <w:left w:val="single" w:sz="8" w:space="0" w:color="00B0F0"/>
              <w:bottom w:val="nil"/>
              <w:right w:val="single" w:sz="8" w:space="0" w:color="00B0F0"/>
            </w:tcBorders>
          </w:tcPr>
          <w:p w:rsidR="007927AC" w:rsidRPr="004E55BC" w:rsidRDefault="007927AC" w:rsidP="00480F52">
            <w:pPr>
              <w:jc w:val="center"/>
              <w:rPr>
                <w:rFonts w:cstheme="minorHAnsi"/>
                <w:color w:val="00B0F0"/>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15</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Leitungsfunktionen in der Landesverwaltung</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vertAlign w:val="superscript"/>
              </w:rPr>
            </w:pPr>
            <w:r w:rsidRPr="00F852A3">
              <w:rPr>
                <w:rFonts w:cstheme="minorHAnsi"/>
              </w:rPr>
              <w:t>4,1</w:t>
            </w:r>
            <w:r w:rsidRPr="00F852A3">
              <w:rPr>
                <w:rFonts w:cstheme="minorHAnsi"/>
                <w:vertAlign w:val="superscript"/>
              </w:rPr>
              <w:t>*)</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 xml:space="preserve"> 7,1</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 xml:space="preserve"> 9,9</w:t>
            </w: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12,6</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14,4</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17,0</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Pr>
                <w:rFonts w:cstheme="minorHAnsi"/>
                <w:sz w:val="20"/>
                <w:szCs w:val="20"/>
              </w:rPr>
              <w:t>19,2</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16</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color w:val="B4005E"/>
              </w:rPr>
            </w:pPr>
            <w:r w:rsidRPr="00F852A3">
              <w:rPr>
                <w:rFonts w:cstheme="minorHAnsi"/>
              </w:rPr>
              <w:t>ExpertInnen in der Landesverwaltung</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vertAlign w:val="superscript"/>
              </w:rPr>
            </w:pPr>
            <w:r w:rsidRPr="00F852A3">
              <w:rPr>
                <w:rFonts w:cstheme="minorHAnsi"/>
              </w:rPr>
              <w:t>24,7</w:t>
            </w:r>
            <w:r w:rsidRPr="00F852A3">
              <w:rPr>
                <w:rFonts w:cstheme="minorHAnsi"/>
                <w:vertAlign w:val="superscript"/>
              </w:rPr>
              <w:t>*)</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25,8</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31,9</w:t>
            </w: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45,9</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46,6</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46,9</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Pr>
                <w:rFonts w:cstheme="minorHAnsi"/>
                <w:sz w:val="20"/>
                <w:szCs w:val="20"/>
              </w:rPr>
              <w:t>47,2</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17</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SachbearbeiterInnen in der Landesverwaltung</w:t>
            </w:r>
          </w:p>
        </w:tc>
        <w:tc>
          <w:tcPr>
            <w:tcW w:w="860"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vertAlign w:val="superscript"/>
              </w:rPr>
            </w:pPr>
            <w:r w:rsidRPr="00F852A3">
              <w:rPr>
                <w:rFonts w:cstheme="minorHAnsi"/>
                <w:sz w:val="20"/>
                <w:szCs w:val="20"/>
              </w:rPr>
              <w:t>30,0</w:t>
            </w:r>
            <w:r w:rsidRPr="00F852A3">
              <w:rPr>
                <w:rFonts w:cstheme="minorHAnsi"/>
                <w:sz w:val="20"/>
                <w:szCs w:val="20"/>
                <w:vertAlign w:val="superscript"/>
              </w:rPr>
              <w:t>*)</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34,0</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41,9</w:t>
            </w: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41,9</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46,8</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48,8</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Pr>
                <w:rFonts w:cstheme="minorHAnsi"/>
                <w:sz w:val="20"/>
                <w:szCs w:val="20"/>
              </w:rPr>
              <w:t>49,7</w:t>
            </w:r>
          </w:p>
        </w:tc>
      </w:tr>
      <w:tr w:rsidR="007927AC" w:rsidRPr="00F852A3" w:rsidTr="00480F52">
        <w:trPr>
          <w:trHeight w:val="245"/>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18</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Bedienstete der Krankenanstalten</w:t>
            </w:r>
          </w:p>
        </w:tc>
        <w:tc>
          <w:tcPr>
            <w:tcW w:w="860"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vertAlign w:val="superscript"/>
              </w:rPr>
            </w:pPr>
            <w:r w:rsidRPr="00F852A3">
              <w:rPr>
                <w:rFonts w:cstheme="minorHAnsi"/>
              </w:rPr>
              <w:t xml:space="preserve">(Verwendungsgruppe A/a) </w:t>
            </w:r>
          </w:p>
        </w:tc>
        <w:tc>
          <w:tcPr>
            <w:tcW w:w="860"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32,7</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36,2</w:t>
            </w: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(Höchste Gehaltsklasse)</w:t>
            </w:r>
            <w:r w:rsidRPr="00F852A3">
              <w:rPr>
                <w:rFonts w:cstheme="minorHAnsi"/>
                <w:vertAlign w:val="superscript"/>
              </w:rPr>
              <w:t>**)</w:t>
            </w:r>
          </w:p>
        </w:tc>
        <w:tc>
          <w:tcPr>
            <w:tcW w:w="860"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31,0</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29,0</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27,3</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Pr>
                <w:rFonts w:cstheme="minorHAnsi"/>
                <w:sz w:val="20"/>
                <w:szCs w:val="20"/>
              </w:rPr>
              <w:t>26,8</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19</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SchulleiterInnen an allgemeinbildenden Pflichtschulen</w:t>
            </w:r>
          </w:p>
        </w:tc>
        <w:tc>
          <w:tcPr>
            <w:tcW w:w="860"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15,5</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35,7</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48,7</w:t>
            </w: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50,0</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53,4</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sidRPr="00F852A3">
              <w:rPr>
                <w:rFonts w:cstheme="minorHAnsi"/>
                <w:sz w:val="20"/>
                <w:szCs w:val="20"/>
              </w:rPr>
              <w:t>54,9</w:t>
            </w: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r>
              <w:rPr>
                <w:rFonts w:cstheme="minorHAnsi"/>
                <w:sz w:val="20"/>
                <w:szCs w:val="20"/>
              </w:rPr>
              <w:t>58,4</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60"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4E55BC" w:rsidRDefault="007927AC" w:rsidP="00480F52">
            <w:pPr>
              <w:rPr>
                <w:rFonts w:cstheme="minorHAnsi"/>
                <w:b/>
                <w:color w:val="00B0F0"/>
              </w:rPr>
            </w:pPr>
            <w:r w:rsidRPr="004E55BC">
              <w:rPr>
                <w:rFonts w:cstheme="minorHAnsi"/>
                <w:b/>
                <w:color w:val="00B0F0"/>
              </w:rPr>
              <w:t>POLITISCHE PARTIZIPATION</w:t>
            </w:r>
          </w:p>
        </w:tc>
        <w:tc>
          <w:tcPr>
            <w:tcW w:w="860"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3"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20</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Landtagsabgeordnete</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30,5</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38,9</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36,1</w:t>
            </w: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36,1</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30,6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33,3</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41,7</w:t>
            </w:r>
          </w:p>
        </w:tc>
      </w:tr>
      <w:tr w:rsidR="007927AC" w:rsidRPr="00F852A3" w:rsidTr="00480F52">
        <w:trPr>
          <w:trHeight w:val="245"/>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21</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Mitglieder der Landesregierung</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14,3</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14,3</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28,6</w:t>
            </w: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28,6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28,6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28,6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42,8</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22</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GemeinderätInnen</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13,1</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20,2</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20,7</w:t>
            </w: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23,6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23,6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23,6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26,7</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23</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BürgermeisterInnen</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 xml:space="preserve">  1,0</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 xml:space="preserve">  3,1</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 xml:space="preserve">  3,1</w:t>
            </w: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 xml:space="preserve">  7,3</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 xml:space="preserve">  7,3</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8,3</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6,3</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color w:val="B4005E"/>
              </w:rPr>
            </w:pPr>
          </w:p>
        </w:tc>
        <w:tc>
          <w:tcPr>
            <w:tcW w:w="4687" w:type="dxa"/>
            <w:tcBorders>
              <w:top w:val="nil"/>
              <w:left w:val="single" w:sz="8" w:space="0" w:color="00B0F0"/>
              <w:bottom w:val="nil"/>
              <w:right w:val="single" w:sz="8" w:space="0" w:color="00B0F0"/>
            </w:tcBorders>
          </w:tcPr>
          <w:p w:rsidR="007927AC" w:rsidRPr="004E55BC" w:rsidRDefault="007927AC" w:rsidP="00480F52">
            <w:pPr>
              <w:rPr>
                <w:rFonts w:cstheme="minorHAnsi"/>
                <w:b/>
                <w:color w:val="00B0F0"/>
              </w:rPr>
            </w:pPr>
            <w:r w:rsidRPr="004E55BC">
              <w:rPr>
                <w:rFonts w:cstheme="minorHAnsi"/>
                <w:b/>
                <w:color w:val="00B0F0"/>
              </w:rPr>
              <w:t>HAUSARBEIT UND KINDERBETREUUNG</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24</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Personen in Elternkarenz</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99,6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98,9</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98,1</w:t>
            </w: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98,0</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97,7</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97,9</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97,7</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25</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BezieherInnen von Kinderbetreuungsgeld</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98,5</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97,7</w:t>
            </w: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97,1</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97,0</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97,0</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97,8</w:t>
            </w:r>
          </w:p>
        </w:tc>
      </w:tr>
      <w:tr w:rsidR="007927AC" w:rsidRPr="00F852A3" w:rsidTr="00480F52">
        <w:trPr>
          <w:trHeight w:val="245"/>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26</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Alleinerziehende</w:t>
            </w:r>
          </w:p>
        </w:tc>
        <w:tc>
          <w:tcPr>
            <w:tcW w:w="860"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85,3</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85,7</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85,1</w:t>
            </w:r>
          </w:p>
        </w:tc>
        <w:tc>
          <w:tcPr>
            <w:tcW w:w="903"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86,2</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85,0</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85,8</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84,7</w:t>
            </w:r>
          </w:p>
        </w:tc>
      </w:tr>
      <w:tr w:rsidR="007927AC" w:rsidRPr="00F852A3" w:rsidTr="00480F52">
        <w:trPr>
          <w:trHeight w:val="221"/>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color w:val="B4005E"/>
              </w:rPr>
            </w:pPr>
          </w:p>
        </w:tc>
        <w:tc>
          <w:tcPr>
            <w:tcW w:w="6283" w:type="dxa"/>
            <w:gridSpan w:val="7"/>
            <w:vMerge w:val="restart"/>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Zeitaufwand pro Tag (2008/</w:t>
            </w:r>
            <w:proofErr w:type="gramStart"/>
            <w:r w:rsidRPr="00F852A3">
              <w:rPr>
                <w:rFonts w:cstheme="minorHAnsi"/>
              </w:rPr>
              <w:t>09)</w:t>
            </w:r>
            <w:r w:rsidRPr="00F852A3">
              <w:rPr>
                <w:rFonts w:cstheme="minorHAnsi"/>
                <w:vertAlign w:val="superscript"/>
              </w:rPr>
              <w:t>*</w:t>
            </w:r>
            <w:proofErr w:type="gramEnd"/>
            <w:r w:rsidRPr="00F852A3">
              <w:rPr>
                <w:rFonts w:cstheme="minorHAnsi"/>
                <w:vertAlign w:val="superscript"/>
              </w:rPr>
              <w:t>**)</w:t>
            </w:r>
          </w:p>
          <w:p w:rsidR="007927AC" w:rsidRPr="00F852A3" w:rsidRDefault="007927AC" w:rsidP="00480F52">
            <w:pPr>
              <w:jc w:val="center"/>
              <w:rPr>
                <w:rFonts w:cstheme="minorHAnsi"/>
              </w:rPr>
            </w:pPr>
            <w:r w:rsidRPr="00F852A3">
              <w:rPr>
                <w:rFonts w:cstheme="minorHAnsi"/>
              </w:rPr>
              <w:t xml:space="preserve">in </w:t>
            </w:r>
            <w:proofErr w:type="gramStart"/>
            <w:r w:rsidRPr="00F852A3">
              <w:rPr>
                <w:rFonts w:cstheme="minorHAnsi"/>
              </w:rPr>
              <w:t>Stunden :</w:t>
            </w:r>
            <w:proofErr w:type="gramEnd"/>
            <w:r w:rsidRPr="00F852A3">
              <w:rPr>
                <w:rFonts w:cstheme="minorHAnsi"/>
              </w:rPr>
              <w:t xml:space="preserve"> Minuten</w:t>
            </w:r>
          </w:p>
          <w:p w:rsidR="007927AC" w:rsidRPr="00F852A3" w:rsidRDefault="007927AC" w:rsidP="00480F52">
            <w:pPr>
              <w:jc w:val="center"/>
              <w:rPr>
                <w:rFonts w:cstheme="minorHAnsi"/>
              </w:rPr>
            </w:pPr>
            <w:r w:rsidRPr="00F852A3">
              <w:rPr>
                <w:rFonts w:cstheme="minorHAnsi"/>
              </w:rPr>
              <w:t xml:space="preserve">  Frauen       Männer</w:t>
            </w:r>
          </w:p>
          <w:p w:rsidR="007927AC" w:rsidRPr="00F852A3" w:rsidRDefault="007927AC" w:rsidP="00480F52">
            <w:pPr>
              <w:jc w:val="center"/>
              <w:rPr>
                <w:rFonts w:cstheme="minorHAnsi"/>
              </w:rPr>
            </w:pPr>
            <w:r w:rsidRPr="00F852A3">
              <w:rPr>
                <w:rFonts w:cstheme="minorHAnsi"/>
              </w:rPr>
              <w:t>4:39            2:15</w:t>
            </w:r>
          </w:p>
        </w:tc>
      </w:tr>
      <w:tr w:rsidR="007927AC" w:rsidRPr="00F852A3" w:rsidTr="00480F52">
        <w:trPr>
          <w:trHeight w:val="221"/>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6283" w:type="dxa"/>
            <w:gridSpan w:val="7"/>
            <w:vMerge/>
            <w:tcBorders>
              <w:top w:val="nil"/>
              <w:left w:val="single" w:sz="8" w:space="0" w:color="00B0F0"/>
              <w:bottom w:val="nil"/>
              <w:right w:val="single" w:sz="8" w:space="0" w:color="00B0F0"/>
            </w:tcBorders>
          </w:tcPr>
          <w:p w:rsidR="007927AC" w:rsidRPr="00F852A3" w:rsidRDefault="007927AC" w:rsidP="00480F52">
            <w:pPr>
              <w:rPr>
                <w:rFonts w:cstheme="minorHAnsi"/>
              </w:rPr>
            </w:pPr>
          </w:p>
        </w:tc>
      </w:tr>
      <w:tr w:rsidR="007927AC" w:rsidRPr="00F852A3" w:rsidTr="00480F52">
        <w:trPr>
          <w:trHeight w:val="221"/>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27</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Hausarbeit und Kinderbetreuung</w:t>
            </w:r>
          </w:p>
        </w:tc>
        <w:tc>
          <w:tcPr>
            <w:tcW w:w="6283" w:type="dxa"/>
            <w:gridSpan w:val="7"/>
            <w:vMerge/>
            <w:tcBorders>
              <w:top w:val="nil"/>
              <w:left w:val="single" w:sz="8" w:space="0" w:color="00B0F0"/>
              <w:bottom w:val="nil"/>
              <w:right w:val="single" w:sz="8" w:space="0" w:color="00B0F0"/>
            </w:tcBorders>
          </w:tcPr>
          <w:p w:rsidR="007927AC" w:rsidRPr="00F852A3" w:rsidRDefault="007927AC" w:rsidP="00480F52">
            <w:pPr>
              <w:rPr>
                <w:rFonts w:cstheme="minorHAnsi"/>
              </w:rPr>
            </w:pPr>
          </w:p>
        </w:tc>
      </w:tr>
      <w:tr w:rsidR="007927AC" w:rsidRPr="00F852A3" w:rsidTr="00480F52">
        <w:trPr>
          <w:trHeight w:val="221"/>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6283" w:type="dxa"/>
            <w:gridSpan w:val="7"/>
            <w:vMerge/>
            <w:tcBorders>
              <w:top w:val="nil"/>
              <w:left w:val="single" w:sz="8" w:space="0" w:color="00B0F0"/>
              <w:bottom w:val="nil"/>
              <w:right w:val="single" w:sz="8" w:space="0" w:color="00B0F0"/>
            </w:tcBorders>
          </w:tcPr>
          <w:p w:rsidR="007927AC" w:rsidRPr="00F852A3" w:rsidRDefault="007927AC" w:rsidP="00480F52">
            <w:pPr>
              <w:rPr>
                <w:rFonts w:cstheme="minorHAnsi"/>
              </w:rPr>
            </w:pPr>
          </w:p>
        </w:tc>
      </w:tr>
      <w:tr w:rsidR="007927AC" w:rsidRPr="00F852A3" w:rsidTr="00480F52">
        <w:trPr>
          <w:trHeight w:val="221"/>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6283" w:type="dxa"/>
            <w:gridSpan w:val="7"/>
            <w:tcBorders>
              <w:top w:val="nil"/>
              <w:left w:val="single" w:sz="8" w:space="0" w:color="00B0F0"/>
              <w:bottom w:val="nil"/>
              <w:right w:val="single" w:sz="8" w:space="0" w:color="00B0F0"/>
            </w:tcBorders>
            <w:vAlign w:val="center"/>
          </w:tcPr>
          <w:p w:rsidR="007927AC" w:rsidRPr="004E55BC" w:rsidRDefault="007927AC" w:rsidP="00480F52">
            <w:pPr>
              <w:pStyle w:val="TextTabellenbeschriftunggro"/>
              <w:rPr>
                <w:rFonts w:cstheme="minorHAnsi"/>
                <w:b/>
                <w:color w:val="00B0F0"/>
                <w:sz w:val="20"/>
                <w:szCs w:val="20"/>
              </w:rPr>
            </w:pPr>
            <w:r w:rsidRPr="004E55BC">
              <w:rPr>
                <w:rFonts w:cstheme="minorHAnsi"/>
                <w:b/>
                <w:color w:val="00B0F0"/>
                <w:sz w:val="20"/>
                <w:szCs w:val="20"/>
              </w:rPr>
              <w:t>Einkommensnachteil der Frauen in %</w:t>
            </w:r>
          </w:p>
        </w:tc>
      </w:tr>
      <w:tr w:rsidR="007927AC" w:rsidRPr="00F852A3" w:rsidTr="00480F52">
        <w:trPr>
          <w:trHeight w:val="221"/>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color w:val="B4005E"/>
              </w:rPr>
            </w:pPr>
          </w:p>
        </w:tc>
        <w:tc>
          <w:tcPr>
            <w:tcW w:w="860" w:type="dxa"/>
            <w:tcBorders>
              <w:top w:val="nil"/>
              <w:left w:val="single" w:sz="8" w:space="0" w:color="00B0F0"/>
              <w:bottom w:val="nil"/>
              <w:right w:val="single" w:sz="8" w:space="0" w:color="00B0F0"/>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2000</w:t>
            </w:r>
          </w:p>
        </w:tc>
        <w:tc>
          <w:tcPr>
            <w:tcW w:w="904" w:type="dxa"/>
            <w:tcBorders>
              <w:top w:val="nil"/>
              <w:left w:val="single" w:sz="8" w:space="0" w:color="00B0F0"/>
              <w:bottom w:val="nil"/>
              <w:right w:val="single" w:sz="8" w:space="0" w:color="00B0F0"/>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2006/07</w:t>
            </w:r>
          </w:p>
        </w:tc>
        <w:tc>
          <w:tcPr>
            <w:tcW w:w="904" w:type="dxa"/>
            <w:tcBorders>
              <w:top w:val="nil"/>
              <w:left w:val="single" w:sz="8" w:space="0" w:color="00B0F0"/>
              <w:bottom w:val="nil"/>
              <w:right w:val="single" w:sz="8" w:space="0" w:color="00B0F0"/>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2010/11</w:t>
            </w:r>
          </w:p>
        </w:tc>
        <w:tc>
          <w:tcPr>
            <w:tcW w:w="903" w:type="dxa"/>
            <w:tcBorders>
              <w:top w:val="nil"/>
              <w:left w:val="single" w:sz="8" w:space="0" w:color="00B0F0"/>
              <w:bottom w:val="nil"/>
              <w:right w:val="single" w:sz="8" w:space="0" w:color="00B0F0"/>
            </w:tcBorders>
            <w:vAlign w:val="center"/>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2014/15</w:t>
            </w:r>
          </w:p>
        </w:tc>
        <w:tc>
          <w:tcPr>
            <w:tcW w:w="904" w:type="dxa"/>
            <w:tcBorders>
              <w:top w:val="nil"/>
              <w:left w:val="single" w:sz="8" w:space="0" w:color="00B0F0"/>
              <w:bottom w:val="nil"/>
              <w:right w:val="single" w:sz="8" w:space="0" w:color="00B0F0"/>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2017/18</w:t>
            </w:r>
          </w:p>
        </w:tc>
        <w:tc>
          <w:tcPr>
            <w:tcW w:w="904" w:type="dxa"/>
            <w:tcBorders>
              <w:top w:val="nil"/>
              <w:left w:val="single" w:sz="8" w:space="0" w:color="00B0F0"/>
              <w:bottom w:val="nil"/>
              <w:right w:val="single" w:sz="8" w:space="0" w:color="00B0F0"/>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2018/19</w:t>
            </w:r>
          </w:p>
        </w:tc>
        <w:tc>
          <w:tcPr>
            <w:tcW w:w="904" w:type="dxa"/>
            <w:tcBorders>
              <w:top w:val="nil"/>
              <w:left w:val="single" w:sz="8" w:space="0" w:color="00B0F0"/>
              <w:bottom w:val="nil"/>
              <w:right w:val="single" w:sz="8" w:space="0" w:color="00B0F0"/>
            </w:tcBorders>
          </w:tcPr>
          <w:p w:rsidR="007927AC" w:rsidRPr="004E55BC" w:rsidRDefault="007927AC" w:rsidP="00480F52">
            <w:pPr>
              <w:pStyle w:val="TextTabellenbeschriftunggro"/>
              <w:rPr>
                <w:rFonts w:cstheme="minorHAnsi"/>
                <w:color w:val="00B0F0"/>
                <w:sz w:val="20"/>
                <w:szCs w:val="20"/>
              </w:rPr>
            </w:pPr>
            <w:r w:rsidRPr="004E55BC">
              <w:rPr>
                <w:rFonts w:cstheme="minorHAnsi"/>
                <w:color w:val="00B0F0"/>
                <w:sz w:val="20"/>
                <w:szCs w:val="20"/>
              </w:rPr>
              <w:t>2019/20</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4E55BC" w:rsidRDefault="007927AC" w:rsidP="00480F52">
            <w:pPr>
              <w:rPr>
                <w:rFonts w:cstheme="minorHAnsi"/>
                <w:b/>
                <w:color w:val="00B0F0"/>
              </w:rPr>
            </w:pPr>
            <w:r w:rsidRPr="004E55BC">
              <w:rPr>
                <w:rFonts w:cstheme="minorHAnsi"/>
                <w:b/>
                <w:color w:val="00B0F0"/>
              </w:rPr>
              <w:t>ÖKONOMISCHE SITUATION</w:t>
            </w:r>
          </w:p>
        </w:tc>
        <w:tc>
          <w:tcPr>
            <w:tcW w:w="860" w:type="dxa"/>
            <w:tcBorders>
              <w:top w:val="nil"/>
              <w:left w:val="single" w:sz="8" w:space="0" w:color="00B0F0"/>
              <w:bottom w:val="nil"/>
              <w:right w:val="single" w:sz="8" w:space="0" w:color="00B0F0"/>
            </w:tcBorders>
            <w:vAlign w:val="center"/>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pStyle w:val="ZahleninTabelle"/>
              <w:rPr>
                <w:rFonts w:cstheme="minorHAnsi"/>
                <w:sz w:val="20"/>
                <w:szCs w:val="20"/>
              </w:rPr>
            </w:pPr>
          </w:p>
        </w:tc>
        <w:tc>
          <w:tcPr>
            <w:tcW w:w="903" w:type="dxa"/>
            <w:tcBorders>
              <w:top w:val="nil"/>
              <w:left w:val="single" w:sz="8" w:space="0" w:color="00B0F0"/>
              <w:bottom w:val="nil"/>
              <w:right w:val="single" w:sz="8" w:space="0" w:color="00B0F0"/>
            </w:tcBorders>
            <w:vAlign w:val="center"/>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c>
          <w:tcPr>
            <w:tcW w:w="904" w:type="dxa"/>
            <w:tcBorders>
              <w:top w:val="nil"/>
              <w:left w:val="single" w:sz="8" w:space="0" w:color="00B0F0"/>
              <w:bottom w:val="nil"/>
              <w:right w:val="single" w:sz="8" w:space="0" w:color="00B0F0"/>
            </w:tcBorders>
          </w:tcPr>
          <w:p w:rsidR="007927AC" w:rsidRPr="00F852A3" w:rsidRDefault="007927AC" w:rsidP="00480F52">
            <w:pPr>
              <w:pStyle w:val="ZahleninTabelle"/>
              <w:rPr>
                <w:rFonts w:cstheme="minorHAnsi"/>
                <w:sz w:val="20"/>
                <w:szCs w:val="20"/>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28</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Jahreseinkommen unselbstständig Erwerbstätiger</w:t>
            </w:r>
          </w:p>
        </w:tc>
        <w:tc>
          <w:tcPr>
            <w:tcW w:w="860"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w:t>
            </w: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51,9</w:t>
            </w: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52,5</w:t>
            </w:r>
          </w:p>
        </w:tc>
        <w:tc>
          <w:tcPr>
            <w:tcW w:w="903"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51,0</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50,7</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51,4</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51,4</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29</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 xml:space="preserve">Jahreseinkommen ganzjährig </w:t>
            </w:r>
            <w:proofErr w:type="spellStart"/>
            <w:r w:rsidRPr="00F852A3">
              <w:rPr>
                <w:rFonts w:cstheme="minorHAnsi"/>
              </w:rPr>
              <w:t>Vollzeitbesch</w:t>
            </w:r>
            <w:proofErr w:type="spellEnd"/>
            <w:r>
              <w:rPr>
                <w:rFonts w:cstheme="minorHAnsi"/>
              </w:rPr>
              <w:t xml:space="preserve">-        </w:t>
            </w:r>
            <w:proofErr w:type="spellStart"/>
            <w:r w:rsidRPr="00F852A3">
              <w:rPr>
                <w:rFonts w:cstheme="minorHAnsi"/>
              </w:rPr>
              <w:t>äftigter</w:t>
            </w:r>
            <w:proofErr w:type="spellEnd"/>
          </w:p>
        </w:tc>
        <w:tc>
          <w:tcPr>
            <w:tcW w:w="860"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vertAlign w:val="superscript"/>
              </w:rPr>
            </w:pPr>
            <w:r w:rsidRPr="00F852A3">
              <w:rPr>
                <w:rFonts w:cstheme="minorHAnsi"/>
              </w:rPr>
              <w:t>39,7</w:t>
            </w:r>
            <w:r w:rsidRPr="00F852A3">
              <w:rPr>
                <w:rFonts w:cstheme="minorHAnsi"/>
                <w:vertAlign w:val="superscript"/>
              </w:rPr>
              <w:t>*)</w:t>
            </w: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33,8</w:t>
            </w: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31,8</w:t>
            </w:r>
          </w:p>
        </w:tc>
        <w:tc>
          <w:tcPr>
            <w:tcW w:w="903"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27,7</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23,6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27,2</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24,2</w:t>
            </w: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p>
        </w:tc>
        <w:tc>
          <w:tcPr>
            <w:tcW w:w="860"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3"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b/>
              </w:rPr>
            </w:pPr>
            <w:r w:rsidRPr="004E55BC">
              <w:rPr>
                <w:rFonts w:cstheme="minorHAnsi"/>
                <w:b/>
                <w:color w:val="00B0F0"/>
              </w:rPr>
              <w:t>SOZIALE SICHERHEIT</w:t>
            </w:r>
          </w:p>
        </w:tc>
        <w:tc>
          <w:tcPr>
            <w:tcW w:w="860"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3"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p>
        </w:tc>
      </w:tr>
      <w:tr w:rsidR="007927AC" w:rsidRPr="00F852A3" w:rsidTr="00480F52">
        <w:trPr>
          <w:trHeight w:val="244"/>
        </w:trPr>
        <w:tc>
          <w:tcPr>
            <w:tcW w:w="511" w:type="dxa"/>
            <w:tcBorders>
              <w:top w:val="nil"/>
              <w:left w:val="single" w:sz="8" w:space="0" w:color="00B0F0"/>
              <w:bottom w:val="nil"/>
              <w:right w:val="single" w:sz="8" w:space="0" w:color="00B0F0"/>
            </w:tcBorders>
          </w:tcPr>
          <w:p w:rsidR="007927AC" w:rsidRPr="00F852A3" w:rsidRDefault="007927AC" w:rsidP="00480F52">
            <w:pPr>
              <w:jc w:val="right"/>
              <w:rPr>
                <w:rFonts w:cstheme="minorHAnsi"/>
              </w:rPr>
            </w:pPr>
            <w:r w:rsidRPr="00F852A3">
              <w:rPr>
                <w:rFonts w:cstheme="minorHAnsi"/>
              </w:rPr>
              <w:t>30</w:t>
            </w:r>
          </w:p>
        </w:tc>
        <w:tc>
          <w:tcPr>
            <w:tcW w:w="4687" w:type="dxa"/>
            <w:tcBorders>
              <w:top w:val="nil"/>
              <w:left w:val="single" w:sz="8" w:space="0" w:color="00B0F0"/>
              <w:bottom w:val="nil"/>
              <w:right w:val="single" w:sz="8" w:space="0" w:color="00B0F0"/>
            </w:tcBorders>
          </w:tcPr>
          <w:p w:rsidR="007927AC" w:rsidRPr="00F852A3" w:rsidRDefault="007927AC" w:rsidP="00480F52">
            <w:pPr>
              <w:rPr>
                <w:rFonts w:cstheme="minorHAnsi"/>
              </w:rPr>
            </w:pPr>
            <w:r w:rsidRPr="00F852A3">
              <w:rPr>
                <w:rFonts w:cstheme="minorHAnsi"/>
              </w:rPr>
              <w:t>Jahreseinkommen der PensionistInnen</w:t>
            </w:r>
          </w:p>
        </w:tc>
        <w:tc>
          <w:tcPr>
            <w:tcW w:w="860"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w:t>
            </w: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50,0</w:t>
            </w:r>
          </w:p>
        </w:tc>
        <w:tc>
          <w:tcPr>
            <w:tcW w:w="904"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48,5</w:t>
            </w:r>
          </w:p>
        </w:tc>
        <w:tc>
          <w:tcPr>
            <w:tcW w:w="903" w:type="dxa"/>
            <w:tcBorders>
              <w:top w:val="nil"/>
              <w:left w:val="single" w:sz="8" w:space="0" w:color="00B0F0"/>
              <w:bottom w:val="nil"/>
              <w:right w:val="single" w:sz="8" w:space="0" w:color="00B0F0"/>
            </w:tcBorders>
            <w:vAlign w:val="center"/>
          </w:tcPr>
          <w:p w:rsidR="007927AC" w:rsidRPr="00F852A3" w:rsidRDefault="007927AC" w:rsidP="00480F52">
            <w:pPr>
              <w:jc w:val="center"/>
              <w:rPr>
                <w:rFonts w:cstheme="minorHAnsi"/>
              </w:rPr>
            </w:pPr>
            <w:r w:rsidRPr="00F852A3">
              <w:rPr>
                <w:rFonts w:cstheme="minorHAnsi"/>
              </w:rPr>
              <w:t>46,7</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47,5</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sidRPr="00F852A3">
              <w:rPr>
                <w:rFonts w:cstheme="minorHAnsi"/>
              </w:rPr>
              <w:t>46,6</w:t>
            </w:r>
          </w:p>
        </w:tc>
        <w:tc>
          <w:tcPr>
            <w:tcW w:w="904" w:type="dxa"/>
            <w:tcBorders>
              <w:top w:val="nil"/>
              <w:left w:val="single" w:sz="8" w:space="0" w:color="00B0F0"/>
              <w:bottom w:val="nil"/>
              <w:right w:val="single" w:sz="8" w:space="0" w:color="00B0F0"/>
            </w:tcBorders>
          </w:tcPr>
          <w:p w:rsidR="007927AC" w:rsidRPr="00F852A3" w:rsidRDefault="007927AC" w:rsidP="00480F52">
            <w:pPr>
              <w:jc w:val="center"/>
              <w:rPr>
                <w:rFonts w:cstheme="minorHAnsi"/>
              </w:rPr>
            </w:pPr>
            <w:r>
              <w:rPr>
                <w:rFonts w:cstheme="minorHAnsi"/>
              </w:rPr>
              <w:t>46,6</w:t>
            </w:r>
          </w:p>
        </w:tc>
      </w:tr>
      <w:tr w:rsidR="007927AC" w:rsidRPr="00F852A3" w:rsidTr="00480F52">
        <w:trPr>
          <w:trHeight w:val="245"/>
        </w:trPr>
        <w:tc>
          <w:tcPr>
            <w:tcW w:w="511" w:type="dxa"/>
            <w:tcBorders>
              <w:top w:val="nil"/>
              <w:left w:val="single" w:sz="8" w:space="0" w:color="00B0F0"/>
              <w:bottom w:val="single" w:sz="8" w:space="0" w:color="00B0F0"/>
              <w:right w:val="single" w:sz="8" w:space="0" w:color="00B0F0"/>
            </w:tcBorders>
          </w:tcPr>
          <w:p w:rsidR="007927AC" w:rsidRPr="00F852A3" w:rsidRDefault="007927AC" w:rsidP="00480F52">
            <w:pPr>
              <w:jc w:val="right"/>
              <w:rPr>
                <w:rFonts w:cstheme="minorHAnsi"/>
                <w:sz w:val="14"/>
                <w:szCs w:val="14"/>
              </w:rPr>
            </w:pPr>
          </w:p>
        </w:tc>
        <w:tc>
          <w:tcPr>
            <w:tcW w:w="4687" w:type="dxa"/>
            <w:tcBorders>
              <w:top w:val="nil"/>
              <w:left w:val="single" w:sz="8" w:space="0" w:color="00B0F0"/>
              <w:bottom w:val="single" w:sz="8" w:space="0" w:color="00B0F0"/>
              <w:right w:val="single" w:sz="8" w:space="0" w:color="00B0F0"/>
            </w:tcBorders>
          </w:tcPr>
          <w:p w:rsidR="007927AC" w:rsidRPr="00F852A3" w:rsidRDefault="007927AC" w:rsidP="00480F52">
            <w:pPr>
              <w:rPr>
                <w:rFonts w:cstheme="minorHAnsi"/>
                <w:sz w:val="14"/>
                <w:szCs w:val="14"/>
              </w:rPr>
            </w:pPr>
          </w:p>
        </w:tc>
        <w:tc>
          <w:tcPr>
            <w:tcW w:w="860" w:type="dxa"/>
            <w:tcBorders>
              <w:top w:val="nil"/>
              <w:left w:val="single" w:sz="8" w:space="0" w:color="00B0F0"/>
              <w:bottom w:val="single" w:sz="8" w:space="0" w:color="00B0F0"/>
              <w:right w:val="single" w:sz="8" w:space="0" w:color="00B0F0"/>
            </w:tcBorders>
            <w:vAlign w:val="center"/>
          </w:tcPr>
          <w:p w:rsidR="007927AC" w:rsidRPr="00F852A3" w:rsidRDefault="007927AC" w:rsidP="00480F52">
            <w:pPr>
              <w:jc w:val="center"/>
              <w:rPr>
                <w:rFonts w:cstheme="minorHAnsi"/>
                <w:sz w:val="14"/>
                <w:szCs w:val="14"/>
              </w:rPr>
            </w:pPr>
          </w:p>
        </w:tc>
        <w:tc>
          <w:tcPr>
            <w:tcW w:w="904" w:type="dxa"/>
            <w:tcBorders>
              <w:top w:val="nil"/>
              <w:left w:val="single" w:sz="8" w:space="0" w:color="00B0F0"/>
              <w:bottom w:val="single" w:sz="8" w:space="0" w:color="00B0F0"/>
              <w:right w:val="single" w:sz="8" w:space="0" w:color="00B0F0"/>
            </w:tcBorders>
            <w:vAlign w:val="center"/>
          </w:tcPr>
          <w:p w:rsidR="007927AC" w:rsidRPr="00F852A3" w:rsidRDefault="007927AC" w:rsidP="00480F52">
            <w:pPr>
              <w:jc w:val="center"/>
              <w:rPr>
                <w:rFonts w:cstheme="minorHAnsi"/>
                <w:sz w:val="14"/>
                <w:szCs w:val="14"/>
              </w:rPr>
            </w:pPr>
          </w:p>
        </w:tc>
        <w:tc>
          <w:tcPr>
            <w:tcW w:w="904" w:type="dxa"/>
            <w:tcBorders>
              <w:top w:val="nil"/>
              <w:left w:val="single" w:sz="8" w:space="0" w:color="00B0F0"/>
              <w:bottom w:val="single" w:sz="8" w:space="0" w:color="00B0F0"/>
              <w:right w:val="single" w:sz="8" w:space="0" w:color="00B0F0"/>
            </w:tcBorders>
            <w:vAlign w:val="center"/>
          </w:tcPr>
          <w:p w:rsidR="007927AC" w:rsidRPr="00F852A3" w:rsidRDefault="007927AC" w:rsidP="00480F52">
            <w:pPr>
              <w:jc w:val="center"/>
              <w:rPr>
                <w:rFonts w:cstheme="minorHAnsi"/>
                <w:sz w:val="14"/>
                <w:szCs w:val="14"/>
              </w:rPr>
            </w:pPr>
          </w:p>
        </w:tc>
        <w:tc>
          <w:tcPr>
            <w:tcW w:w="903" w:type="dxa"/>
            <w:tcBorders>
              <w:top w:val="nil"/>
              <w:left w:val="single" w:sz="8" w:space="0" w:color="00B0F0"/>
              <w:bottom w:val="single" w:sz="8" w:space="0" w:color="00B0F0"/>
              <w:right w:val="single" w:sz="8" w:space="0" w:color="00B0F0"/>
            </w:tcBorders>
            <w:vAlign w:val="center"/>
          </w:tcPr>
          <w:p w:rsidR="007927AC" w:rsidRPr="00F852A3" w:rsidRDefault="007927AC" w:rsidP="00480F52">
            <w:pPr>
              <w:jc w:val="center"/>
              <w:rPr>
                <w:rFonts w:cstheme="minorHAnsi"/>
                <w:sz w:val="14"/>
                <w:szCs w:val="14"/>
              </w:rPr>
            </w:pPr>
          </w:p>
        </w:tc>
        <w:tc>
          <w:tcPr>
            <w:tcW w:w="904" w:type="dxa"/>
            <w:tcBorders>
              <w:top w:val="nil"/>
              <w:left w:val="single" w:sz="8" w:space="0" w:color="00B0F0"/>
              <w:bottom w:val="single" w:sz="8" w:space="0" w:color="00B0F0"/>
              <w:right w:val="single" w:sz="8" w:space="0" w:color="00B0F0"/>
            </w:tcBorders>
            <w:vAlign w:val="center"/>
          </w:tcPr>
          <w:p w:rsidR="007927AC" w:rsidRPr="00F852A3" w:rsidRDefault="007927AC" w:rsidP="00480F52">
            <w:pPr>
              <w:jc w:val="center"/>
              <w:rPr>
                <w:rFonts w:cstheme="minorHAnsi"/>
                <w:sz w:val="14"/>
                <w:szCs w:val="14"/>
              </w:rPr>
            </w:pPr>
          </w:p>
        </w:tc>
        <w:tc>
          <w:tcPr>
            <w:tcW w:w="904" w:type="dxa"/>
            <w:tcBorders>
              <w:top w:val="nil"/>
              <w:left w:val="single" w:sz="8" w:space="0" w:color="00B0F0"/>
              <w:bottom w:val="single" w:sz="8" w:space="0" w:color="00B0F0"/>
              <w:right w:val="single" w:sz="8" w:space="0" w:color="00B0F0"/>
            </w:tcBorders>
          </w:tcPr>
          <w:p w:rsidR="007927AC" w:rsidRPr="00F852A3" w:rsidRDefault="007927AC" w:rsidP="00480F52">
            <w:pPr>
              <w:jc w:val="center"/>
              <w:rPr>
                <w:rFonts w:cstheme="minorHAnsi"/>
                <w:sz w:val="14"/>
                <w:szCs w:val="14"/>
              </w:rPr>
            </w:pPr>
          </w:p>
        </w:tc>
        <w:tc>
          <w:tcPr>
            <w:tcW w:w="904" w:type="dxa"/>
            <w:tcBorders>
              <w:top w:val="nil"/>
              <w:left w:val="single" w:sz="8" w:space="0" w:color="00B0F0"/>
              <w:bottom w:val="single" w:sz="8" w:space="0" w:color="00B0F0"/>
              <w:right w:val="single" w:sz="8" w:space="0" w:color="00B0F0"/>
            </w:tcBorders>
          </w:tcPr>
          <w:p w:rsidR="007927AC" w:rsidRPr="00F852A3" w:rsidRDefault="007927AC" w:rsidP="00480F52">
            <w:pPr>
              <w:jc w:val="center"/>
              <w:rPr>
                <w:rFonts w:cstheme="minorHAnsi"/>
                <w:sz w:val="14"/>
                <w:szCs w:val="14"/>
              </w:rPr>
            </w:pPr>
          </w:p>
        </w:tc>
      </w:tr>
    </w:tbl>
    <w:p w:rsidR="007927AC" w:rsidRPr="00F852A3" w:rsidRDefault="007927AC" w:rsidP="007927AC">
      <w:pPr>
        <w:pStyle w:val="QuelleZusatztext"/>
        <w:rPr>
          <w:rFonts w:cstheme="minorHAnsi"/>
          <w:sz w:val="10"/>
          <w:szCs w:val="10"/>
        </w:rPr>
      </w:pPr>
    </w:p>
    <w:p w:rsidR="007927AC" w:rsidRPr="00F852A3" w:rsidRDefault="007927AC" w:rsidP="007927AC">
      <w:pPr>
        <w:pStyle w:val="QuelleZusatztext"/>
        <w:ind w:left="142"/>
        <w:rPr>
          <w:rFonts w:cstheme="minorHAnsi"/>
          <w:sz w:val="15"/>
          <w:szCs w:val="15"/>
        </w:rPr>
      </w:pPr>
      <w:r w:rsidRPr="00F852A3">
        <w:rPr>
          <w:rFonts w:cstheme="minorHAnsi"/>
          <w:sz w:val="15"/>
          <w:szCs w:val="15"/>
        </w:rPr>
        <w:t>*) Diese Indikatoren stammen aus dem Jahr 2002, da sich die Personalstatistik aus früheren Jahren mit der gegenwärtigen nicht vergleichen lässt.</w:t>
      </w:r>
    </w:p>
    <w:p w:rsidR="007927AC" w:rsidRPr="00F852A3" w:rsidRDefault="007927AC" w:rsidP="007927AC">
      <w:pPr>
        <w:pStyle w:val="QuelleZusatztext"/>
        <w:ind w:left="142"/>
        <w:rPr>
          <w:rFonts w:cstheme="minorHAnsi"/>
          <w:sz w:val="15"/>
          <w:szCs w:val="15"/>
        </w:rPr>
      </w:pPr>
      <w:r w:rsidRPr="00F852A3">
        <w:rPr>
          <w:rFonts w:cstheme="minorHAnsi"/>
          <w:sz w:val="15"/>
          <w:szCs w:val="15"/>
        </w:rPr>
        <w:t>**) Seit Juli 2013 erfolgt die statistische Erfassung der MitarbeiterInnen nicht mehr nach Verwendungsgruppen, sondern nach Gehaltsklassen. Die Indikatoren ab 2012/13 sind daher mit jenen davor nicht vergleichbar.</w:t>
      </w:r>
    </w:p>
    <w:p w:rsidR="007927AC" w:rsidRPr="00F852A3" w:rsidRDefault="007927AC" w:rsidP="007927AC">
      <w:pPr>
        <w:pStyle w:val="QuelleZusatztext"/>
        <w:ind w:left="142"/>
        <w:rPr>
          <w:rFonts w:cstheme="minorHAnsi"/>
          <w:sz w:val="15"/>
          <w:szCs w:val="15"/>
        </w:rPr>
      </w:pPr>
      <w:r w:rsidRPr="00F852A3">
        <w:rPr>
          <w:rFonts w:cstheme="minorHAnsi"/>
          <w:sz w:val="15"/>
          <w:szCs w:val="15"/>
        </w:rPr>
        <w:t>***) Keine aktuelleren Zahlen vorhanden</w:t>
      </w:r>
    </w:p>
    <w:p w:rsidR="006D1AD6" w:rsidRPr="00296FC3" w:rsidRDefault="006D1AD6" w:rsidP="00296FC3">
      <w:pPr>
        <w:rPr>
          <w:rFonts w:cs="Tahoma"/>
          <w:b/>
          <w:color w:val="00B0F0"/>
          <w:sz w:val="20"/>
        </w:rPr>
      </w:pPr>
    </w:p>
    <w:p w:rsidR="00B745C9" w:rsidRPr="00296FC3" w:rsidRDefault="00B745C9" w:rsidP="00296FC3">
      <w:pPr>
        <w:sectPr w:rsidR="00B745C9" w:rsidRPr="00296FC3" w:rsidSect="00072A2A">
          <w:headerReference w:type="default" r:id="rId9"/>
          <w:pgSz w:w="12240" w:h="15840"/>
          <w:pgMar w:top="993" w:right="1418" w:bottom="567" w:left="1418" w:header="283" w:footer="283" w:gutter="0"/>
          <w:pgNumType w:start="305"/>
          <w:cols w:space="720"/>
        </w:sectPr>
      </w:pPr>
    </w:p>
    <w:p w:rsidR="007019E1" w:rsidRPr="00296FC3" w:rsidRDefault="009B6C33" w:rsidP="00296FC3">
      <w:pPr>
        <w:pStyle w:val="berschrift1"/>
        <w:spacing w:before="0"/>
      </w:pPr>
      <w:r>
        <w:t>Umsetzung</w:t>
      </w:r>
      <w:r w:rsidR="007019E1" w:rsidRPr="00296FC3">
        <w:t xml:space="preserve"> von Gender Budgeting in der Vorarlberger Landesverwaltung</w:t>
      </w:r>
    </w:p>
    <w:p w:rsidR="007019E1" w:rsidRPr="00296FC3" w:rsidRDefault="007019E1" w:rsidP="00296FC3">
      <w:pPr>
        <w:pStyle w:val="KeinLeerraum1"/>
        <w:spacing w:line="276" w:lineRule="auto"/>
        <w:jc w:val="both"/>
        <w:rPr>
          <w:rFonts w:asciiTheme="minorHAnsi" w:hAnsiTheme="minorHAnsi" w:cs="Tahoma"/>
          <w:color w:val="000000"/>
          <w:sz w:val="24"/>
          <w:szCs w:val="24"/>
          <w:lang w:eastAsia="de-AT"/>
        </w:rPr>
      </w:pPr>
    </w:p>
    <w:p w:rsidR="00F94C83" w:rsidRPr="00296FC3" w:rsidRDefault="007019E1" w:rsidP="00296FC3">
      <w:pPr>
        <w:pStyle w:val="KeinLeerraum1"/>
        <w:spacing w:line="276" w:lineRule="auto"/>
        <w:jc w:val="both"/>
        <w:rPr>
          <w:rFonts w:asciiTheme="minorHAnsi" w:hAnsiTheme="minorHAnsi" w:cs="Tahoma"/>
          <w:color w:val="000000"/>
          <w:sz w:val="24"/>
          <w:szCs w:val="24"/>
          <w:lang w:eastAsia="de-AT"/>
        </w:rPr>
      </w:pPr>
      <w:r w:rsidRPr="00296FC3">
        <w:rPr>
          <w:rFonts w:asciiTheme="minorHAnsi" w:hAnsiTheme="minorHAnsi" w:cs="Tahoma"/>
          <w:color w:val="000000"/>
          <w:sz w:val="24"/>
          <w:szCs w:val="24"/>
          <w:lang w:eastAsia="de-AT"/>
        </w:rPr>
        <w:t xml:space="preserve">Durch Gender Budgeting soll aufgezeigt werden, welche Maßnahmen in der Landesverwaltung im Sinne </w:t>
      </w:r>
      <w:r w:rsidR="000F711D" w:rsidRPr="00296FC3">
        <w:rPr>
          <w:rFonts w:asciiTheme="minorHAnsi" w:hAnsiTheme="minorHAnsi" w:cs="Tahoma"/>
          <w:color w:val="000000"/>
          <w:sz w:val="24"/>
          <w:szCs w:val="24"/>
          <w:lang w:eastAsia="de-AT"/>
        </w:rPr>
        <w:t xml:space="preserve">der Gleichstellung von Männern und </w:t>
      </w:r>
      <w:proofErr w:type="gramStart"/>
      <w:r w:rsidR="000F711D" w:rsidRPr="00296FC3">
        <w:rPr>
          <w:rFonts w:asciiTheme="minorHAnsi" w:hAnsiTheme="minorHAnsi" w:cs="Tahoma"/>
          <w:color w:val="000000"/>
          <w:sz w:val="24"/>
          <w:szCs w:val="24"/>
          <w:lang w:eastAsia="de-AT"/>
        </w:rPr>
        <w:t xml:space="preserve">Frauen </w:t>
      </w:r>
      <w:r w:rsidRPr="00296FC3">
        <w:rPr>
          <w:rFonts w:asciiTheme="minorHAnsi" w:hAnsiTheme="minorHAnsi" w:cs="Tahoma"/>
          <w:color w:val="000000"/>
          <w:sz w:val="24"/>
          <w:szCs w:val="24"/>
          <w:lang w:eastAsia="de-AT"/>
        </w:rPr>
        <w:t xml:space="preserve"> umgesetzt</w:t>
      </w:r>
      <w:proofErr w:type="gramEnd"/>
      <w:r w:rsidRPr="00296FC3">
        <w:rPr>
          <w:rFonts w:asciiTheme="minorHAnsi" w:hAnsiTheme="minorHAnsi" w:cs="Tahoma"/>
          <w:color w:val="000000"/>
          <w:sz w:val="24"/>
          <w:szCs w:val="24"/>
          <w:lang w:eastAsia="de-AT"/>
        </w:rPr>
        <w:t xml:space="preserve"> werden bzw. wurden</w:t>
      </w:r>
      <w:bookmarkStart w:id="0" w:name="OLE_LINK2"/>
      <w:bookmarkStart w:id="1" w:name="OLE_LINK1"/>
      <w:r w:rsidRPr="00296FC3">
        <w:rPr>
          <w:rFonts w:asciiTheme="minorHAnsi" w:hAnsiTheme="minorHAnsi" w:cs="Tahoma"/>
          <w:color w:val="000000"/>
          <w:sz w:val="24"/>
          <w:szCs w:val="24"/>
          <w:lang w:eastAsia="de-AT"/>
        </w:rPr>
        <w:t xml:space="preserve">. </w:t>
      </w:r>
    </w:p>
    <w:p w:rsidR="005B6817" w:rsidRPr="00296FC3" w:rsidRDefault="005B6817" w:rsidP="00296FC3">
      <w:pPr>
        <w:pStyle w:val="KeinLeerraum1"/>
        <w:spacing w:line="276" w:lineRule="auto"/>
        <w:jc w:val="both"/>
        <w:rPr>
          <w:rFonts w:asciiTheme="minorHAnsi" w:hAnsiTheme="minorHAnsi" w:cs="Tahoma"/>
          <w:color w:val="000000"/>
          <w:sz w:val="24"/>
          <w:szCs w:val="24"/>
          <w:lang w:eastAsia="de-AT"/>
        </w:rPr>
      </w:pPr>
    </w:p>
    <w:p w:rsidR="00F94C83" w:rsidRPr="00296FC3" w:rsidRDefault="00F94C83" w:rsidP="00296FC3">
      <w:pPr>
        <w:pStyle w:val="KeinLeerraum1"/>
        <w:spacing w:line="276" w:lineRule="auto"/>
        <w:jc w:val="both"/>
        <w:rPr>
          <w:rFonts w:asciiTheme="minorHAnsi" w:hAnsiTheme="minorHAnsi" w:cs="Tahoma"/>
          <w:color w:val="000000"/>
          <w:sz w:val="24"/>
          <w:szCs w:val="24"/>
          <w:lang w:eastAsia="de-AT"/>
        </w:rPr>
      </w:pPr>
      <w:r w:rsidRPr="00296FC3">
        <w:rPr>
          <w:rFonts w:asciiTheme="minorHAnsi" w:hAnsiTheme="minorHAnsi" w:cs="Tahoma"/>
          <w:color w:val="000000"/>
          <w:sz w:val="24"/>
          <w:szCs w:val="24"/>
          <w:lang w:eastAsia="de-AT"/>
        </w:rPr>
        <w:t xml:space="preserve">Ausgangspunkt der Überlegungen ist die Tatsache, dass Budgets in der Regel unterschiedliche Auswirkungen auf die Lebenssituationen von Frauen und Männern, jungen </w:t>
      </w:r>
      <w:r w:rsidRPr="00296FC3">
        <w:rPr>
          <w:rFonts w:asciiTheme="minorHAnsi" w:hAnsiTheme="minorHAnsi" w:cs="Tahoma"/>
          <w:sz w:val="24"/>
          <w:szCs w:val="24"/>
          <w:lang w:eastAsia="de-AT"/>
        </w:rPr>
        <w:t>und alten Menschen haben. Es geht dabei nicht um die</w:t>
      </w:r>
      <w:r w:rsidRPr="00296FC3">
        <w:rPr>
          <w:rFonts w:asciiTheme="minorHAnsi" w:hAnsiTheme="minorHAnsi" w:cs="Tahoma"/>
          <w:color w:val="000000"/>
          <w:sz w:val="24"/>
          <w:szCs w:val="24"/>
          <w:lang w:eastAsia="de-AT"/>
        </w:rPr>
        <w:t xml:space="preserve"> </w:t>
      </w:r>
      <w:r w:rsidRPr="00296FC3">
        <w:rPr>
          <w:rFonts w:asciiTheme="minorHAnsi" w:hAnsiTheme="minorHAnsi" w:cs="Tahoma"/>
          <w:sz w:val="24"/>
          <w:szCs w:val="24"/>
          <w:lang w:eastAsia="de-AT"/>
        </w:rPr>
        <w:t xml:space="preserve">Erhöhung des Gesamtbudgets, sondern darum, vorhandene Mittel gerechter zu verteilen. </w:t>
      </w:r>
    </w:p>
    <w:p w:rsidR="00F94C83" w:rsidRPr="00296FC3" w:rsidRDefault="00F94C83" w:rsidP="00296FC3">
      <w:pPr>
        <w:pStyle w:val="KeinLeerraum1"/>
        <w:spacing w:line="276" w:lineRule="auto"/>
        <w:jc w:val="both"/>
        <w:rPr>
          <w:rFonts w:asciiTheme="minorHAnsi" w:hAnsiTheme="minorHAnsi" w:cs="Tahoma"/>
          <w:sz w:val="24"/>
          <w:szCs w:val="24"/>
          <w:lang w:eastAsia="de-AT"/>
        </w:rPr>
      </w:pPr>
    </w:p>
    <w:p w:rsidR="00F94C83" w:rsidRPr="00296FC3" w:rsidRDefault="00F94C83" w:rsidP="00296FC3">
      <w:pPr>
        <w:pStyle w:val="KeinLeerraum1"/>
        <w:spacing w:line="276" w:lineRule="auto"/>
        <w:jc w:val="both"/>
        <w:rPr>
          <w:rFonts w:asciiTheme="minorHAnsi" w:hAnsiTheme="minorHAnsi" w:cs="Tahoma"/>
          <w:sz w:val="24"/>
          <w:szCs w:val="24"/>
        </w:rPr>
      </w:pPr>
      <w:r w:rsidRPr="00296FC3">
        <w:rPr>
          <w:rFonts w:asciiTheme="minorHAnsi" w:hAnsiTheme="minorHAnsi" w:cs="Tahoma"/>
          <w:sz w:val="24"/>
          <w:szCs w:val="24"/>
          <w:lang w:eastAsia="de-AT"/>
        </w:rPr>
        <w:t xml:space="preserve">Im Rahmen eines ersten Pilotprojektes (Mai 2008 bis Juni 2009) wurden drei Verwaltungsbereiche (EU-Programm, Sportbereich, Zukunftsbüro) herangezogen, </w:t>
      </w:r>
      <w:r w:rsidR="002164FF" w:rsidRPr="00296FC3">
        <w:rPr>
          <w:rFonts w:asciiTheme="minorHAnsi" w:hAnsiTheme="minorHAnsi" w:cs="Tahoma"/>
          <w:sz w:val="24"/>
          <w:szCs w:val="24"/>
          <w:lang w:eastAsia="de-AT"/>
        </w:rPr>
        <w:t xml:space="preserve">um </w:t>
      </w:r>
      <w:r w:rsidRPr="00296FC3">
        <w:rPr>
          <w:rFonts w:asciiTheme="minorHAnsi" w:hAnsiTheme="minorHAnsi" w:cs="Tahoma"/>
          <w:sz w:val="24"/>
          <w:szCs w:val="24"/>
          <w:lang w:eastAsia="de-AT"/>
        </w:rPr>
        <w:t xml:space="preserve">ausgewählte Bereiche hinsichtlich der Genderwirkungen zu analysieren. </w:t>
      </w:r>
      <w:r w:rsidRPr="00296FC3">
        <w:rPr>
          <w:rFonts w:asciiTheme="minorHAnsi" w:hAnsiTheme="minorHAnsi" w:cs="Tahoma"/>
          <w:sz w:val="24"/>
          <w:szCs w:val="24"/>
        </w:rPr>
        <w:t xml:space="preserve">Auf Grund der im Pilotprojekt gemachten Erfahrungen wurde vom Begleitteam beschlossen, Gender Budgeting in der Vorarlberger Landesverwaltung im Zuge eines „Learning </w:t>
      </w:r>
      <w:proofErr w:type="spellStart"/>
      <w:r w:rsidRPr="00296FC3">
        <w:rPr>
          <w:rFonts w:asciiTheme="minorHAnsi" w:hAnsiTheme="minorHAnsi" w:cs="Tahoma"/>
          <w:sz w:val="24"/>
          <w:szCs w:val="24"/>
        </w:rPr>
        <w:t>by</w:t>
      </w:r>
      <w:proofErr w:type="spellEnd"/>
      <w:r w:rsidRPr="00296FC3">
        <w:rPr>
          <w:rFonts w:asciiTheme="minorHAnsi" w:hAnsiTheme="minorHAnsi" w:cs="Tahoma"/>
          <w:sz w:val="24"/>
          <w:szCs w:val="24"/>
        </w:rPr>
        <w:t xml:space="preserve"> </w:t>
      </w:r>
      <w:proofErr w:type="spellStart"/>
      <w:r w:rsidRPr="00296FC3">
        <w:rPr>
          <w:rFonts w:asciiTheme="minorHAnsi" w:hAnsiTheme="minorHAnsi" w:cs="Tahoma"/>
          <w:sz w:val="24"/>
          <w:szCs w:val="24"/>
        </w:rPr>
        <w:t>doing</w:t>
      </w:r>
      <w:proofErr w:type="spellEnd"/>
      <w:r w:rsidRPr="00296FC3">
        <w:rPr>
          <w:rFonts w:asciiTheme="minorHAnsi" w:hAnsiTheme="minorHAnsi" w:cs="Tahoma"/>
          <w:sz w:val="24"/>
          <w:szCs w:val="24"/>
        </w:rPr>
        <w:t>“ – Prozesses zu entwickeln.</w:t>
      </w:r>
    </w:p>
    <w:p w:rsidR="00F94C83" w:rsidRPr="00296FC3" w:rsidRDefault="00F94C83" w:rsidP="00296FC3">
      <w:pPr>
        <w:pStyle w:val="KeinLeerraum1"/>
        <w:spacing w:line="276" w:lineRule="auto"/>
        <w:jc w:val="both"/>
        <w:rPr>
          <w:rFonts w:asciiTheme="minorHAnsi" w:hAnsiTheme="minorHAnsi" w:cs="Tahoma"/>
          <w:sz w:val="24"/>
          <w:szCs w:val="24"/>
        </w:rPr>
      </w:pPr>
    </w:p>
    <w:p w:rsidR="00F94C83" w:rsidRPr="00296FC3" w:rsidRDefault="009970BE" w:rsidP="00296FC3">
      <w:pPr>
        <w:pStyle w:val="KeinLeerraum1"/>
        <w:spacing w:line="276" w:lineRule="auto"/>
        <w:jc w:val="both"/>
        <w:rPr>
          <w:rFonts w:asciiTheme="minorHAnsi" w:hAnsiTheme="minorHAnsi" w:cs="Tahoma"/>
          <w:bCs/>
          <w:sz w:val="24"/>
          <w:szCs w:val="24"/>
          <w:lang w:eastAsia="de-AT"/>
        </w:rPr>
      </w:pPr>
      <w:r>
        <w:rPr>
          <w:rFonts w:asciiTheme="minorHAnsi" w:hAnsiTheme="minorHAnsi" w:cs="Tahoma"/>
          <w:bCs/>
          <w:sz w:val="24"/>
          <w:szCs w:val="24"/>
          <w:lang w:eastAsia="de-AT"/>
        </w:rPr>
        <w:t xml:space="preserve">Folgende Rahmenbedingungen für die Weiterentwicklung wurden festgelegt: </w:t>
      </w:r>
    </w:p>
    <w:p w:rsidR="00F94C83" w:rsidRPr="00296FC3" w:rsidRDefault="00F94C83" w:rsidP="00296FC3">
      <w:pPr>
        <w:pStyle w:val="KeinLeerraum1"/>
        <w:spacing w:line="276" w:lineRule="auto"/>
        <w:jc w:val="center"/>
        <w:rPr>
          <w:rFonts w:asciiTheme="minorHAnsi" w:hAnsiTheme="minorHAnsi" w:cs="Tahoma"/>
          <w:bCs/>
          <w:sz w:val="24"/>
          <w:szCs w:val="24"/>
          <w:lang w:eastAsia="de-AT"/>
        </w:rPr>
      </w:pPr>
    </w:p>
    <w:p w:rsidR="00F94C83" w:rsidRPr="00296FC3" w:rsidRDefault="00F94C83" w:rsidP="00296FC3">
      <w:pPr>
        <w:pStyle w:val="KeinLeerraum1"/>
        <w:numPr>
          <w:ilvl w:val="0"/>
          <w:numId w:val="2"/>
        </w:numPr>
        <w:spacing w:line="276" w:lineRule="auto"/>
        <w:jc w:val="both"/>
        <w:rPr>
          <w:rFonts w:asciiTheme="minorHAnsi" w:hAnsiTheme="minorHAnsi" w:cs="Tahoma"/>
          <w:sz w:val="24"/>
          <w:szCs w:val="24"/>
          <w:lang w:eastAsia="de-AT"/>
        </w:rPr>
      </w:pPr>
      <w:r w:rsidRPr="00296FC3">
        <w:rPr>
          <w:rFonts w:asciiTheme="minorHAnsi" w:hAnsiTheme="minorHAnsi" w:cs="Tahoma"/>
          <w:sz w:val="24"/>
          <w:szCs w:val="24"/>
          <w:lang w:eastAsia="de-AT"/>
        </w:rPr>
        <w:t xml:space="preserve">Gender Budgeting erfolgt auf der Ebene der Voranschlagsstellen. Seit dem Budget 2016 wird Gender </w:t>
      </w:r>
      <w:proofErr w:type="spellStart"/>
      <w:r w:rsidRPr="00296FC3">
        <w:rPr>
          <w:rFonts w:asciiTheme="minorHAnsi" w:hAnsiTheme="minorHAnsi" w:cs="Tahoma"/>
          <w:sz w:val="24"/>
          <w:szCs w:val="24"/>
          <w:lang w:eastAsia="de-AT"/>
        </w:rPr>
        <w:t>Budgeting</w:t>
      </w:r>
      <w:proofErr w:type="spellEnd"/>
      <w:r w:rsidRPr="00296FC3">
        <w:rPr>
          <w:rFonts w:asciiTheme="minorHAnsi" w:hAnsiTheme="minorHAnsi" w:cs="Tahoma"/>
          <w:sz w:val="24"/>
          <w:szCs w:val="24"/>
          <w:lang w:eastAsia="de-AT"/>
        </w:rPr>
        <w:t xml:space="preserve"> im </w:t>
      </w:r>
      <w:proofErr w:type="spellStart"/>
      <w:r w:rsidRPr="00296FC3">
        <w:rPr>
          <w:rFonts w:asciiTheme="minorHAnsi" w:hAnsiTheme="minorHAnsi" w:cs="Tahoma"/>
          <w:sz w:val="24"/>
          <w:szCs w:val="24"/>
          <w:lang w:eastAsia="de-AT"/>
        </w:rPr>
        <w:t>Rechnungswesen</w:t>
      </w:r>
      <w:r w:rsidR="009970BE">
        <w:rPr>
          <w:rFonts w:asciiTheme="minorHAnsi" w:hAnsiTheme="minorHAnsi" w:cs="Tahoma"/>
          <w:sz w:val="24"/>
          <w:szCs w:val="24"/>
          <w:lang w:eastAsia="de-AT"/>
        </w:rPr>
        <w:t>system</w:t>
      </w:r>
      <w:proofErr w:type="spellEnd"/>
      <w:r w:rsidRPr="00296FC3">
        <w:rPr>
          <w:rFonts w:asciiTheme="minorHAnsi" w:hAnsiTheme="minorHAnsi" w:cs="Tahoma"/>
          <w:sz w:val="24"/>
          <w:szCs w:val="24"/>
          <w:lang w:eastAsia="de-AT"/>
        </w:rPr>
        <w:t xml:space="preserve"> des Landes umgesetzt.</w:t>
      </w:r>
    </w:p>
    <w:p w:rsidR="00F94C83" w:rsidRPr="00296FC3" w:rsidRDefault="00F94C83" w:rsidP="00296FC3">
      <w:pPr>
        <w:pStyle w:val="KeinLeerraum1"/>
        <w:numPr>
          <w:ilvl w:val="0"/>
          <w:numId w:val="2"/>
        </w:numPr>
        <w:spacing w:line="276" w:lineRule="auto"/>
        <w:jc w:val="both"/>
        <w:rPr>
          <w:rFonts w:asciiTheme="minorHAnsi" w:hAnsiTheme="minorHAnsi" w:cs="Tahoma"/>
          <w:sz w:val="24"/>
          <w:szCs w:val="24"/>
          <w:lang w:eastAsia="de-AT"/>
        </w:rPr>
      </w:pPr>
      <w:r w:rsidRPr="00296FC3">
        <w:rPr>
          <w:rFonts w:asciiTheme="minorHAnsi" w:hAnsiTheme="minorHAnsi" w:cs="Tahoma"/>
          <w:sz w:val="24"/>
          <w:szCs w:val="24"/>
          <w:lang w:eastAsia="de-AT"/>
        </w:rPr>
        <w:t>Voranschlagsstellen werden laufend auf deren Genderrelevanz geprüft.</w:t>
      </w:r>
    </w:p>
    <w:p w:rsidR="00F94C83" w:rsidRPr="00296FC3" w:rsidRDefault="00F94C83" w:rsidP="00296FC3">
      <w:pPr>
        <w:pStyle w:val="KeinLeerraum1"/>
        <w:numPr>
          <w:ilvl w:val="0"/>
          <w:numId w:val="2"/>
        </w:numPr>
        <w:spacing w:line="276" w:lineRule="auto"/>
        <w:jc w:val="both"/>
        <w:rPr>
          <w:rFonts w:asciiTheme="minorHAnsi" w:hAnsiTheme="minorHAnsi" w:cs="Tahoma"/>
          <w:sz w:val="24"/>
          <w:szCs w:val="24"/>
          <w:lang w:eastAsia="de-AT"/>
        </w:rPr>
      </w:pPr>
      <w:r w:rsidRPr="00296FC3">
        <w:rPr>
          <w:rFonts w:asciiTheme="minorHAnsi" w:hAnsiTheme="minorHAnsi" w:cs="Tahoma"/>
          <w:sz w:val="24"/>
          <w:szCs w:val="24"/>
          <w:lang w:eastAsia="de-AT"/>
        </w:rPr>
        <w:t xml:space="preserve">Die Koordinierung </w:t>
      </w:r>
      <w:r w:rsidR="002164FF" w:rsidRPr="00296FC3">
        <w:rPr>
          <w:rFonts w:asciiTheme="minorHAnsi" w:hAnsiTheme="minorHAnsi" w:cs="Tahoma"/>
          <w:sz w:val="24"/>
          <w:szCs w:val="24"/>
          <w:lang w:eastAsia="de-AT"/>
        </w:rPr>
        <w:t xml:space="preserve">erfolgt durch die </w:t>
      </w:r>
      <w:r w:rsidRPr="00296FC3">
        <w:rPr>
          <w:rFonts w:asciiTheme="minorHAnsi" w:hAnsiTheme="minorHAnsi" w:cs="Tahoma"/>
          <w:sz w:val="24"/>
          <w:szCs w:val="24"/>
          <w:lang w:eastAsia="de-AT"/>
        </w:rPr>
        <w:t>Abteilung Finanzangelegenheiten</w:t>
      </w:r>
      <w:r w:rsidR="002164FF" w:rsidRPr="00296FC3">
        <w:rPr>
          <w:rFonts w:asciiTheme="minorHAnsi" w:hAnsiTheme="minorHAnsi" w:cs="Tahoma"/>
          <w:sz w:val="24"/>
          <w:szCs w:val="24"/>
          <w:lang w:eastAsia="de-AT"/>
        </w:rPr>
        <w:t xml:space="preserve"> im Amt der Landesregierung</w:t>
      </w:r>
      <w:r w:rsidRPr="00296FC3">
        <w:rPr>
          <w:rFonts w:asciiTheme="minorHAnsi" w:hAnsiTheme="minorHAnsi" w:cs="Tahoma"/>
          <w:sz w:val="24"/>
          <w:szCs w:val="24"/>
          <w:lang w:eastAsia="de-AT"/>
        </w:rPr>
        <w:t>.</w:t>
      </w:r>
    </w:p>
    <w:p w:rsidR="00F94C83" w:rsidRPr="00296FC3" w:rsidRDefault="00F94C83" w:rsidP="00296FC3">
      <w:pPr>
        <w:pStyle w:val="KeinLeerraum1"/>
        <w:numPr>
          <w:ilvl w:val="0"/>
          <w:numId w:val="2"/>
        </w:numPr>
        <w:spacing w:line="276" w:lineRule="auto"/>
        <w:jc w:val="both"/>
        <w:rPr>
          <w:rFonts w:asciiTheme="minorHAnsi" w:hAnsiTheme="minorHAnsi" w:cs="Tahoma"/>
          <w:color w:val="000000"/>
          <w:sz w:val="24"/>
          <w:szCs w:val="24"/>
          <w:lang w:eastAsia="de-AT"/>
        </w:rPr>
      </w:pPr>
      <w:r w:rsidRPr="00296FC3">
        <w:rPr>
          <w:rFonts w:asciiTheme="minorHAnsi" w:hAnsiTheme="minorHAnsi" w:cs="Tahoma"/>
          <w:color w:val="000000"/>
          <w:sz w:val="24"/>
          <w:szCs w:val="24"/>
          <w:lang w:eastAsia="de-AT"/>
        </w:rPr>
        <w:t>Die Abteilung Finanzangelegenheiten erstellt jährlich</w:t>
      </w:r>
      <w:r w:rsidR="00C1470B" w:rsidRPr="00296FC3">
        <w:rPr>
          <w:rFonts w:asciiTheme="minorHAnsi" w:hAnsiTheme="minorHAnsi" w:cs="Tahoma"/>
          <w:color w:val="000000"/>
          <w:sz w:val="24"/>
          <w:szCs w:val="24"/>
          <w:lang w:eastAsia="de-AT"/>
        </w:rPr>
        <w:t xml:space="preserve"> in Zusammenarbeit mit dem </w:t>
      </w:r>
      <w:r w:rsidR="00C1470B" w:rsidRPr="00296FC3">
        <w:rPr>
          <w:rFonts w:asciiTheme="minorHAnsi" w:hAnsiTheme="minorHAnsi" w:cs="Tahoma"/>
          <w:sz w:val="24"/>
          <w:szCs w:val="24"/>
          <w:lang w:eastAsia="de-AT"/>
        </w:rPr>
        <w:t>Funktionsbereich Frauen und Gleichstellung der Abteilung Elementarpädagogik, Schule und Gesellschaft</w:t>
      </w:r>
      <w:r w:rsidRPr="00296FC3">
        <w:rPr>
          <w:rFonts w:asciiTheme="minorHAnsi" w:hAnsiTheme="minorHAnsi" w:cs="Tahoma"/>
          <w:color w:val="000000"/>
          <w:sz w:val="24"/>
          <w:szCs w:val="24"/>
          <w:lang w:eastAsia="de-AT"/>
        </w:rPr>
        <w:t xml:space="preserve"> einen Bericht zu Gender Budgeting</w:t>
      </w:r>
      <w:r w:rsidRPr="00296FC3">
        <w:rPr>
          <w:rFonts w:asciiTheme="minorHAnsi" w:hAnsiTheme="minorHAnsi" w:cs="Tahoma"/>
          <w:sz w:val="24"/>
          <w:szCs w:val="24"/>
          <w:lang w:eastAsia="de-AT"/>
        </w:rPr>
        <w:t>.</w:t>
      </w:r>
      <w:r w:rsidRPr="00296FC3">
        <w:rPr>
          <w:rFonts w:asciiTheme="minorHAnsi" w:hAnsiTheme="minorHAnsi" w:cs="Tahoma"/>
          <w:color w:val="000000"/>
          <w:sz w:val="24"/>
          <w:szCs w:val="24"/>
          <w:lang w:eastAsia="de-AT"/>
        </w:rPr>
        <w:t xml:space="preserve"> </w:t>
      </w:r>
    </w:p>
    <w:p w:rsidR="00F94C83" w:rsidRPr="00296FC3" w:rsidRDefault="00F94C83" w:rsidP="00296FC3">
      <w:pPr>
        <w:pStyle w:val="KeinLeerraum1"/>
        <w:spacing w:line="276" w:lineRule="auto"/>
        <w:jc w:val="both"/>
        <w:rPr>
          <w:rFonts w:asciiTheme="minorHAnsi" w:hAnsiTheme="minorHAnsi" w:cs="Tahoma"/>
          <w:sz w:val="24"/>
          <w:szCs w:val="24"/>
        </w:rPr>
      </w:pPr>
    </w:p>
    <w:p w:rsidR="002164FF" w:rsidRPr="00296FC3" w:rsidRDefault="00F94C83" w:rsidP="00296FC3">
      <w:pPr>
        <w:pStyle w:val="KeinLeerraum1"/>
        <w:spacing w:line="276" w:lineRule="auto"/>
        <w:jc w:val="both"/>
        <w:rPr>
          <w:rFonts w:asciiTheme="minorHAnsi" w:hAnsiTheme="minorHAnsi" w:cs="Tahoma"/>
          <w:sz w:val="24"/>
          <w:szCs w:val="24"/>
        </w:rPr>
      </w:pPr>
      <w:r w:rsidRPr="00296FC3">
        <w:rPr>
          <w:rFonts w:asciiTheme="minorHAnsi" w:hAnsiTheme="minorHAnsi" w:cs="Tahoma"/>
          <w:sz w:val="24"/>
          <w:szCs w:val="24"/>
        </w:rPr>
        <w:t>Für das Budgetjahr 202</w:t>
      </w:r>
      <w:r w:rsidR="00AB74E1">
        <w:rPr>
          <w:rFonts w:asciiTheme="minorHAnsi" w:hAnsiTheme="minorHAnsi" w:cs="Tahoma"/>
          <w:sz w:val="24"/>
          <w:szCs w:val="24"/>
        </w:rPr>
        <w:t>1</w:t>
      </w:r>
      <w:r w:rsidRPr="00296FC3">
        <w:rPr>
          <w:rFonts w:asciiTheme="minorHAnsi" w:hAnsiTheme="minorHAnsi" w:cs="Tahoma"/>
          <w:sz w:val="24"/>
          <w:szCs w:val="24"/>
        </w:rPr>
        <w:t xml:space="preserve"> wird bereits das </w:t>
      </w:r>
      <w:r w:rsidR="00AB74E1">
        <w:rPr>
          <w:rFonts w:asciiTheme="minorHAnsi" w:hAnsiTheme="minorHAnsi" w:cs="Tahoma"/>
          <w:sz w:val="24"/>
          <w:szCs w:val="24"/>
        </w:rPr>
        <w:t>neunte</w:t>
      </w:r>
      <w:r w:rsidRPr="00296FC3">
        <w:rPr>
          <w:rFonts w:asciiTheme="minorHAnsi" w:hAnsiTheme="minorHAnsi" w:cs="Tahoma"/>
          <w:sz w:val="24"/>
          <w:szCs w:val="24"/>
        </w:rPr>
        <w:t xml:space="preserve"> Mal ein Bericht zu Gender Budgeting erstellt. Dieser Bericht wird als Anlage dem Landesvoranschlag beigelegt. </w:t>
      </w:r>
    </w:p>
    <w:p w:rsidR="002164FF" w:rsidRPr="00296FC3" w:rsidRDefault="002164FF" w:rsidP="00296FC3">
      <w:pPr>
        <w:pStyle w:val="KeinLeerraum1"/>
        <w:spacing w:line="276" w:lineRule="auto"/>
        <w:jc w:val="both"/>
        <w:rPr>
          <w:rFonts w:asciiTheme="minorHAnsi" w:hAnsiTheme="minorHAnsi" w:cs="Tahoma"/>
          <w:sz w:val="24"/>
          <w:szCs w:val="24"/>
        </w:rPr>
      </w:pPr>
    </w:p>
    <w:p w:rsidR="00F94C83" w:rsidRPr="00411CB5" w:rsidRDefault="002164FF" w:rsidP="00296FC3">
      <w:pPr>
        <w:pStyle w:val="KeinLeerraum1"/>
        <w:spacing w:line="276" w:lineRule="auto"/>
        <w:jc w:val="both"/>
        <w:rPr>
          <w:rFonts w:asciiTheme="minorHAnsi" w:hAnsiTheme="minorHAnsi" w:cs="Tahoma"/>
          <w:sz w:val="24"/>
          <w:szCs w:val="24"/>
        </w:rPr>
      </w:pPr>
      <w:r w:rsidRPr="00296FC3">
        <w:rPr>
          <w:rFonts w:asciiTheme="minorHAnsi" w:hAnsiTheme="minorHAnsi" w:cs="Tahoma"/>
          <w:sz w:val="24"/>
          <w:szCs w:val="24"/>
        </w:rPr>
        <w:t xml:space="preserve">In diesem Bericht </w:t>
      </w:r>
      <w:r w:rsidR="00411CB5">
        <w:rPr>
          <w:rFonts w:asciiTheme="minorHAnsi" w:hAnsiTheme="minorHAnsi" w:cs="Tahoma"/>
          <w:sz w:val="24"/>
          <w:szCs w:val="24"/>
        </w:rPr>
        <w:t>werden die</w:t>
      </w:r>
      <w:r w:rsidRPr="00296FC3">
        <w:rPr>
          <w:rFonts w:asciiTheme="minorHAnsi" w:hAnsiTheme="minorHAnsi" w:cs="Tahoma"/>
          <w:sz w:val="24"/>
          <w:szCs w:val="24"/>
        </w:rPr>
        <w:t xml:space="preserve"> von </w:t>
      </w:r>
      <w:r w:rsidR="00F94C83" w:rsidRPr="00296FC3">
        <w:rPr>
          <w:rFonts w:asciiTheme="minorHAnsi" w:hAnsiTheme="minorHAnsi" w:cs="Tahoma"/>
          <w:sz w:val="24"/>
          <w:szCs w:val="24"/>
        </w:rPr>
        <w:t xml:space="preserve">den Abteilungen zur Verfügung gestellten und gesammelten Daten </w:t>
      </w:r>
      <w:r w:rsidRPr="00296FC3">
        <w:rPr>
          <w:rFonts w:asciiTheme="minorHAnsi" w:hAnsiTheme="minorHAnsi" w:cs="Tahoma"/>
          <w:sz w:val="24"/>
          <w:szCs w:val="24"/>
        </w:rPr>
        <w:t>zusammengefasst.</w:t>
      </w:r>
      <w:r w:rsidR="00F94C83" w:rsidRPr="00296FC3">
        <w:rPr>
          <w:rFonts w:asciiTheme="minorHAnsi" w:hAnsiTheme="minorHAnsi" w:cs="Tahoma"/>
          <w:sz w:val="24"/>
          <w:szCs w:val="24"/>
        </w:rPr>
        <w:t xml:space="preserve"> Dabei gehen wir davon aus, dass der Beitrag der Budgetierung zur Veränderung gewachsener gesellschaftlicher Unterschiede nicht unmittelbar gemessen werden kann. Viel wichtiger in </w:t>
      </w:r>
      <w:r w:rsidR="00F94C83" w:rsidRPr="00411CB5">
        <w:rPr>
          <w:rFonts w:asciiTheme="minorHAnsi" w:hAnsiTheme="minorHAnsi" w:cs="Tahoma"/>
          <w:sz w:val="24"/>
          <w:szCs w:val="24"/>
        </w:rPr>
        <w:t>diesem Zusammenhang ist der damit einhergehende Bewusstseinsbildungsprozess. Mit Hilfe dieses Instruments soll den Abteilungen die Möglichkeit gegeben werden, Routineabläufe zu hinterfragen, neu zu bewerten und eventuell auch neu aufzusetzen.</w:t>
      </w:r>
    </w:p>
    <w:p w:rsidR="00F94C83" w:rsidRPr="00411CB5" w:rsidRDefault="00F94C83" w:rsidP="00296FC3">
      <w:pPr>
        <w:jc w:val="both"/>
        <w:rPr>
          <w:rFonts w:cs="Tahoma"/>
          <w:sz w:val="24"/>
          <w:szCs w:val="24"/>
        </w:rPr>
      </w:pPr>
    </w:p>
    <w:p w:rsidR="002164FF" w:rsidRPr="00411CB5" w:rsidRDefault="00F94C83" w:rsidP="00296FC3">
      <w:pPr>
        <w:jc w:val="both"/>
        <w:rPr>
          <w:rFonts w:cs="Tahoma"/>
          <w:sz w:val="24"/>
          <w:szCs w:val="24"/>
        </w:rPr>
      </w:pPr>
      <w:r w:rsidRPr="00411CB5">
        <w:rPr>
          <w:rFonts w:cs="Tahoma"/>
          <w:sz w:val="24"/>
          <w:szCs w:val="24"/>
        </w:rPr>
        <w:t xml:space="preserve">Um </w:t>
      </w:r>
      <w:r w:rsidR="002164FF" w:rsidRPr="00411CB5">
        <w:rPr>
          <w:rFonts w:cs="Tahoma"/>
          <w:sz w:val="24"/>
          <w:szCs w:val="24"/>
        </w:rPr>
        <w:t>zu vermeiden</w:t>
      </w:r>
      <w:r w:rsidRPr="00411CB5">
        <w:rPr>
          <w:rFonts w:cs="Tahoma"/>
          <w:sz w:val="24"/>
          <w:szCs w:val="24"/>
        </w:rPr>
        <w:t>, dass der Gender-Prozess zu einer Routinetätigkeit im Sinne von „</w:t>
      </w:r>
      <w:proofErr w:type="spellStart"/>
      <w:r w:rsidRPr="00411CB5">
        <w:rPr>
          <w:rFonts w:cs="Tahoma"/>
          <w:sz w:val="24"/>
          <w:szCs w:val="24"/>
        </w:rPr>
        <w:t>copy</w:t>
      </w:r>
      <w:proofErr w:type="spellEnd"/>
      <w:r w:rsidRPr="00411CB5">
        <w:rPr>
          <w:rFonts w:cs="Tahoma"/>
          <w:sz w:val="24"/>
          <w:szCs w:val="24"/>
        </w:rPr>
        <w:t xml:space="preserve"> </w:t>
      </w:r>
      <w:proofErr w:type="spellStart"/>
      <w:r w:rsidRPr="00411CB5">
        <w:rPr>
          <w:rFonts w:cs="Tahoma"/>
          <w:sz w:val="24"/>
          <w:szCs w:val="24"/>
        </w:rPr>
        <w:t>and</w:t>
      </w:r>
      <w:proofErr w:type="spellEnd"/>
      <w:r w:rsidRPr="00411CB5">
        <w:rPr>
          <w:rFonts w:cs="Tahoma"/>
          <w:sz w:val="24"/>
          <w:szCs w:val="24"/>
        </w:rPr>
        <w:t xml:space="preserve"> </w:t>
      </w:r>
      <w:proofErr w:type="spellStart"/>
      <w:r w:rsidRPr="00411CB5">
        <w:rPr>
          <w:rFonts w:cs="Tahoma"/>
          <w:sz w:val="24"/>
          <w:szCs w:val="24"/>
        </w:rPr>
        <w:t>paste</w:t>
      </w:r>
      <w:proofErr w:type="spellEnd"/>
      <w:r w:rsidRPr="00411CB5">
        <w:rPr>
          <w:rFonts w:cs="Tahoma"/>
          <w:sz w:val="24"/>
          <w:szCs w:val="24"/>
        </w:rPr>
        <w:t xml:space="preserve">“ wird, wurde in einem nächsten Schritt mit Hilfe einer externen Stelle, der Prozess „Gender Budgeting“ weiterentwickelt. </w:t>
      </w:r>
      <w:r w:rsidR="009B6C33">
        <w:rPr>
          <w:rFonts w:cs="Tahoma"/>
          <w:sz w:val="24"/>
          <w:szCs w:val="24"/>
        </w:rPr>
        <w:t>Dabei</w:t>
      </w:r>
      <w:r w:rsidRPr="00411CB5">
        <w:rPr>
          <w:rFonts w:cs="Tahoma"/>
          <w:sz w:val="24"/>
          <w:szCs w:val="24"/>
        </w:rPr>
        <w:t xml:space="preserve"> wurden erstmals im Herbst 2014 durch Heranziehung von drei Abteilungen in Detailgesprächen die Genderwirkungen im Hinblick auf die Leistungs- und Wirkungsziele der Abteilungen überprüft. Im Rahmen dieser Gespräche zeigte sich, dass viele „Gender-Maßnahmen“ in den Abteilungen bereits umgesetzt werden, ohne dass es den Beteiligten bewusst ist (z. B. in den Bereichen Familie und Jugend). </w:t>
      </w:r>
    </w:p>
    <w:p w:rsidR="002164FF" w:rsidRPr="00411CB5" w:rsidRDefault="002164FF" w:rsidP="00296FC3">
      <w:pPr>
        <w:jc w:val="both"/>
        <w:rPr>
          <w:rFonts w:cs="Tahoma"/>
          <w:sz w:val="24"/>
          <w:szCs w:val="24"/>
        </w:rPr>
      </w:pPr>
    </w:p>
    <w:p w:rsidR="00F94C83" w:rsidRPr="00411CB5" w:rsidRDefault="00F94C83" w:rsidP="00296FC3">
      <w:pPr>
        <w:jc w:val="both"/>
        <w:rPr>
          <w:rFonts w:cs="Tahoma"/>
          <w:sz w:val="24"/>
          <w:szCs w:val="24"/>
        </w:rPr>
      </w:pPr>
      <w:r w:rsidRPr="00411CB5">
        <w:rPr>
          <w:rFonts w:cs="Tahoma"/>
          <w:sz w:val="24"/>
          <w:szCs w:val="24"/>
        </w:rPr>
        <w:t xml:space="preserve">Diese Vorgehensweise bewährt sich, da sich dadurch Abteilungen mit dem Thema Chancengleichheit befassen und ihre internen Abläufe kritisch beleuchten. Diese </w:t>
      </w:r>
      <w:r w:rsidR="002164FF" w:rsidRPr="00411CB5">
        <w:rPr>
          <w:rFonts w:cs="Tahoma"/>
          <w:sz w:val="24"/>
          <w:szCs w:val="24"/>
        </w:rPr>
        <w:t>G</w:t>
      </w:r>
      <w:r w:rsidRPr="00411CB5">
        <w:rPr>
          <w:rFonts w:cs="Tahoma"/>
          <w:sz w:val="24"/>
          <w:szCs w:val="24"/>
        </w:rPr>
        <w:t>espräche werden jährlich abwechselnd mit verschiedenen Abteilungen durchgeführt</w:t>
      </w:r>
      <w:r w:rsidR="002164FF" w:rsidRPr="00411CB5">
        <w:rPr>
          <w:rFonts w:cs="Tahoma"/>
          <w:sz w:val="24"/>
          <w:szCs w:val="24"/>
        </w:rPr>
        <w:t xml:space="preserve">. Auch </w:t>
      </w:r>
      <w:r w:rsidR="009970BE">
        <w:rPr>
          <w:rFonts w:cs="Tahoma"/>
          <w:sz w:val="24"/>
          <w:szCs w:val="24"/>
        </w:rPr>
        <w:t>„Follow-</w:t>
      </w:r>
      <w:proofErr w:type="spellStart"/>
      <w:r w:rsidR="009970BE">
        <w:rPr>
          <w:rFonts w:cs="Tahoma"/>
          <w:sz w:val="24"/>
          <w:szCs w:val="24"/>
        </w:rPr>
        <w:t>Up</w:t>
      </w:r>
      <w:proofErr w:type="spellEnd"/>
      <w:r w:rsidR="009970BE">
        <w:rPr>
          <w:rFonts w:cs="Tahoma"/>
          <w:sz w:val="24"/>
          <w:szCs w:val="24"/>
        </w:rPr>
        <w:t xml:space="preserve">“- Gespräche mit </w:t>
      </w:r>
      <w:r w:rsidR="002164FF" w:rsidRPr="00411CB5">
        <w:rPr>
          <w:rFonts w:cs="Tahoma"/>
          <w:sz w:val="24"/>
          <w:szCs w:val="24"/>
        </w:rPr>
        <w:t>Abte</w:t>
      </w:r>
      <w:r w:rsidR="006808E9">
        <w:rPr>
          <w:rFonts w:cs="Tahoma"/>
          <w:sz w:val="24"/>
          <w:szCs w:val="24"/>
        </w:rPr>
        <w:t>i</w:t>
      </w:r>
      <w:r w:rsidR="002164FF" w:rsidRPr="00411CB5">
        <w:rPr>
          <w:rFonts w:cs="Tahoma"/>
          <w:sz w:val="24"/>
          <w:szCs w:val="24"/>
        </w:rPr>
        <w:t xml:space="preserve">lungen, mit denen die Thematik bereits diskutiert wurde </w:t>
      </w:r>
      <w:r w:rsidR="009970BE">
        <w:rPr>
          <w:rFonts w:cs="Tahoma"/>
          <w:sz w:val="24"/>
          <w:szCs w:val="24"/>
        </w:rPr>
        <w:t xml:space="preserve">werden durchgeführt, ums sicherzustellen, dass eine weitergehende </w:t>
      </w:r>
      <w:r w:rsidRPr="00411CB5">
        <w:rPr>
          <w:rFonts w:cs="Tahoma"/>
          <w:sz w:val="24"/>
          <w:szCs w:val="24"/>
        </w:rPr>
        <w:t xml:space="preserve">Auseinandersetzung mit dem Thema „Gender“ </w:t>
      </w:r>
      <w:r w:rsidR="00043541">
        <w:rPr>
          <w:rFonts w:cs="Tahoma"/>
          <w:sz w:val="24"/>
          <w:szCs w:val="24"/>
        </w:rPr>
        <w:t>erfolgt.</w:t>
      </w:r>
      <w:r w:rsidRPr="00411CB5">
        <w:rPr>
          <w:rFonts w:cs="Tahoma"/>
          <w:sz w:val="24"/>
          <w:szCs w:val="24"/>
        </w:rPr>
        <w:t xml:space="preserve"> </w:t>
      </w:r>
    </w:p>
    <w:p w:rsidR="002164FF" w:rsidRPr="00411CB5" w:rsidRDefault="002164FF" w:rsidP="00296FC3">
      <w:pPr>
        <w:jc w:val="both"/>
        <w:rPr>
          <w:rFonts w:cs="Tahoma"/>
          <w:sz w:val="24"/>
          <w:szCs w:val="24"/>
        </w:rPr>
      </w:pPr>
    </w:p>
    <w:p w:rsidR="00F94C83" w:rsidRDefault="00043541" w:rsidP="00296FC3">
      <w:pPr>
        <w:jc w:val="both"/>
        <w:rPr>
          <w:rFonts w:cs="Tahoma"/>
          <w:sz w:val="24"/>
          <w:szCs w:val="24"/>
        </w:rPr>
      </w:pPr>
      <w:r>
        <w:rPr>
          <w:rFonts w:cs="Tahoma"/>
          <w:sz w:val="24"/>
          <w:szCs w:val="24"/>
        </w:rPr>
        <w:t xml:space="preserve">Teilweise wurden </w:t>
      </w:r>
      <w:r w:rsidR="003D0FE9">
        <w:rPr>
          <w:rFonts w:cs="Tahoma"/>
          <w:sz w:val="24"/>
          <w:szCs w:val="24"/>
        </w:rPr>
        <w:t xml:space="preserve">bereits </w:t>
      </w:r>
      <w:r w:rsidR="00F94C83" w:rsidRPr="00411CB5">
        <w:rPr>
          <w:rFonts w:cs="Tahoma"/>
          <w:sz w:val="24"/>
          <w:szCs w:val="24"/>
        </w:rPr>
        <w:t>konkrete Zielvereinbarungen mit ausgewählten Abteilungen (Soziales und Gesundheit sowie Wissenschaft und Weiterbildung)</w:t>
      </w:r>
      <w:r w:rsidR="002164FF" w:rsidRPr="00411CB5">
        <w:rPr>
          <w:rFonts w:cs="Tahoma"/>
          <w:sz w:val="24"/>
          <w:szCs w:val="24"/>
        </w:rPr>
        <w:t xml:space="preserve"> </w:t>
      </w:r>
      <w:r>
        <w:rPr>
          <w:rFonts w:cs="Tahoma"/>
          <w:sz w:val="24"/>
          <w:szCs w:val="24"/>
        </w:rPr>
        <w:t>erstellt</w:t>
      </w:r>
      <w:r w:rsidR="002164FF" w:rsidRPr="00411CB5">
        <w:rPr>
          <w:rFonts w:cs="Tahoma"/>
          <w:sz w:val="24"/>
          <w:szCs w:val="24"/>
        </w:rPr>
        <w:t>.</w:t>
      </w:r>
      <w:r w:rsidR="00F94C83" w:rsidRPr="00411CB5">
        <w:rPr>
          <w:rFonts w:cs="Tahoma"/>
          <w:sz w:val="24"/>
          <w:szCs w:val="24"/>
        </w:rPr>
        <w:t xml:space="preserve"> </w:t>
      </w:r>
    </w:p>
    <w:p w:rsidR="00424EFA" w:rsidRDefault="00424EFA" w:rsidP="00296FC3">
      <w:pPr>
        <w:jc w:val="both"/>
        <w:rPr>
          <w:rFonts w:cs="Tahoma"/>
          <w:sz w:val="24"/>
          <w:szCs w:val="24"/>
        </w:rPr>
      </w:pPr>
    </w:p>
    <w:p w:rsidR="00424EFA" w:rsidRPr="00411CB5" w:rsidRDefault="00424EFA" w:rsidP="00424EFA">
      <w:pPr>
        <w:rPr>
          <w:sz w:val="24"/>
          <w:szCs w:val="24"/>
        </w:rPr>
      </w:pPr>
      <w:r w:rsidRPr="00411CB5">
        <w:rPr>
          <w:sz w:val="24"/>
          <w:szCs w:val="24"/>
        </w:rPr>
        <w:t xml:space="preserve">Ebenso wurde der Aspekt der Chancengleichheit </w:t>
      </w:r>
      <w:r>
        <w:rPr>
          <w:sz w:val="24"/>
          <w:szCs w:val="24"/>
        </w:rPr>
        <w:t>i</w:t>
      </w:r>
      <w:r w:rsidRPr="00411CB5">
        <w:rPr>
          <w:sz w:val="24"/>
          <w:szCs w:val="24"/>
        </w:rPr>
        <w:t>n die Allgemeinen Förderrichtlinie des Landes   aufgenommen, laut der bei der Gewährung von Förderungen auf die Grundsätze der Antid</w:t>
      </w:r>
      <w:r>
        <w:rPr>
          <w:sz w:val="24"/>
          <w:szCs w:val="24"/>
        </w:rPr>
        <w:t>i</w:t>
      </w:r>
      <w:r w:rsidRPr="00411CB5">
        <w:rPr>
          <w:sz w:val="24"/>
          <w:szCs w:val="24"/>
        </w:rPr>
        <w:t xml:space="preserve">skriminierung und </w:t>
      </w:r>
      <w:proofErr w:type="spellStart"/>
      <w:r w:rsidRPr="00411CB5">
        <w:rPr>
          <w:sz w:val="24"/>
          <w:szCs w:val="24"/>
        </w:rPr>
        <w:t>Chancengleicheit</w:t>
      </w:r>
      <w:proofErr w:type="spellEnd"/>
      <w:r w:rsidRPr="00411CB5">
        <w:rPr>
          <w:sz w:val="24"/>
          <w:szCs w:val="24"/>
        </w:rPr>
        <w:t xml:space="preserve"> von Frauen und Männern zu achten ist.</w:t>
      </w:r>
    </w:p>
    <w:p w:rsidR="002164FF" w:rsidRDefault="002164FF" w:rsidP="00296FC3">
      <w:pPr>
        <w:jc w:val="both"/>
        <w:rPr>
          <w:rFonts w:cs="Tahoma"/>
          <w:sz w:val="24"/>
          <w:szCs w:val="24"/>
        </w:rPr>
      </w:pPr>
    </w:p>
    <w:p w:rsidR="008359BB" w:rsidRPr="003D0FE9" w:rsidRDefault="008359BB" w:rsidP="00296FC3">
      <w:pPr>
        <w:jc w:val="both"/>
        <w:rPr>
          <w:rFonts w:cs="Tahoma"/>
          <w:sz w:val="24"/>
          <w:szCs w:val="24"/>
        </w:rPr>
      </w:pPr>
      <w:r w:rsidRPr="003D0FE9">
        <w:rPr>
          <w:rFonts w:cs="Tahoma"/>
          <w:sz w:val="24"/>
          <w:szCs w:val="24"/>
        </w:rPr>
        <w:t xml:space="preserve">Im Herbst 2020 </w:t>
      </w:r>
      <w:r w:rsidR="00424EFA">
        <w:rPr>
          <w:rFonts w:cs="Tahoma"/>
          <w:sz w:val="24"/>
          <w:szCs w:val="24"/>
        </w:rPr>
        <w:t>war</w:t>
      </w:r>
      <w:r w:rsidRPr="003D0FE9">
        <w:rPr>
          <w:rFonts w:cs="Tahoma"/>
          <w:sz w:val="24"/>
          <w:szCs w:val="24"/>
        </w:rPr>
        <w:t xml:space="preserve"> ein Workshop mit externen Expertinnen zusammen mit wesentlichen </w:t>
      </w:r>
      <w:r w:rsidRPr="00485A42">
        <w:rPr>
          <w:rFonts w:cs="Tahoma"/>
          <w:sz w:val="24"/>
          <w:szCs w:val="24"/>
        </w:rPr>
        <w:t xml:space="preserve">internen Ansprechpersonen zu Gender </w:t>
      </w:r>
      <w:proofErr w:type="spellStart"/>
      <w:r w:rsidRPr="00485A42">
        <w:rPr>
          <w:rFonts w:cs="Tahoma"/>
          <w:sz w:val="24"/>
          <w:szCs w:val="24"/>
        </w:rPr>
        <w:t>Budgeting</w:t>
      </w:r>
      <w:proofErr w:type="spellEnd"/>
      <w:r w:rsidRPr="00485A42">
        <w:rPr>
          <w:rFonts w:cs="Tahoma"/>
          <w:sz w:val="24"/>
          <w:szCs w:val="24"/>
        </w:rPr>
        <w:t xml:space="preserve"> geplant</w:t>
      </w:r>
      <w:r w:rsidR="00424EFA" w:rsidRPr="00485A42">
        <w:rPr>
          <w:rFonts w:cs="Tahoma"/>
          <w:sz w:val="24"/>
          <w:szCs w:val="24"/>
        </w:rPr>
        <w:t xml:space="preserve">, der </w:t>
      </w:r>
      <w:proofErr w:type="spellStart"/>
      <w:r w:rsidR="00A967BF" w:rsidRPr="00485A42">
        <w:rPr>
          <w:rFonts w:cs="Tahoma"/>
          <w:sz w:val="24"/>
          <w:szCs w:val="24"/>
        </w:rPr>
        <w:t>c</w:t>
      </w:r>
      <w:r w:rsidR="00424EFA" w:rsidRPr="00485A42">
        <w:rPr>
          <w:rFonts w:cs="Tahoma"/>
          <w:sz w:val="24"/>
          <w:szCs w:val="24"/>
        </w:rPr>
        <w:t>oronabedingt</w:t>
      </w:r>
      <w:proofErr w:type="spellEnd"/>
      <w:r w:rsidR="00424EFA" w:rsidRPr="00485A42">
        <w:rPr>
          <w:rFonts w:cs="Tahoma"/>
          <w:sz w:val="24"/>
          <w:szCs w:val="24"/>
        </w:rPr>
        <w:t xml:space="preserve"> auf das kommende Jahr verschoben werden musste</w:t>
      </w:r>
      <w:r w:rsidRPr="00485A42">
        <w:rPr>
          <w:rFonts w:cs="Tahoma"/>
          <w:sz w:val="24"/>
          <w:szCs w:val="24"/>
        </w:rPr>
        <w:t xml:space="preserve">. </w:t>
      </w:r>
      <w:r w:rsidR="00424EFA" w:rsidRPr="00485A42">
        <w:rPr>
          <w:rFonts w:cs="Tahoma"/>
          <w:sz w:val="24"/>
          <w:szCs w:val="24"/>
        </w:rPr>
        <w:t xml:space="preserve">Stattdessen wurde vorab </w:t>
      </w:r>
      <w:r w:rsidR="00A967BF" w:rsidRPr="00485A42">
        <w:rPr>
          <w:rFonts w:cs="Tahoma"/>
          <w:sz w:val="24"/>
          <w:szCs w:val="24"/>
        </w:rPr>
        <w:t>i</w:t>
      </w:r>
      <w:r w:rsidR="00424EFA" w:rsidRPr="00485A42">
        <w:rPr>
          <w:rFonts w:cs="Tahoma"/>
          <w:sz w:val="24"/>
          <w:szCs w:val="24"/>
        </w:rPr>
        <w:t xml:space="preserve">n einer Videokonferenz </w:t>
      </w:r>
      <w:r w:rsidR="00A967BF" w:rsidRPr="00485A42">
        <w:rPr>
          <w:rFonts w:cs="Tahoma"/>
          <w:sz w:val="24"/>
          <w:szCs w:val="24"/>
        </w:rPr>
        <w:t xml:space="preserve">mit Genderbudgeting-Expertinnen </w:t>
      </w:r>
      <w:r w:rsidR="00424EFA" w:rsidRPr="00485A42">
        <w:rPr>
          <w:rFonts w:cs="Tahoma"/>
          <w:sz w:val="24"/>
          <w:szCs w:val="24"/>
        </w:rPr>
        <w:t xml:space="preserve">der Gender-Budgeting Bericht und Entwicklungsperspektiven für Gender Budgeting besprochen. </w:t>
      </w:r>
      <w:r w:rsidRPr="00485A42">
        <w:rPr>
          <w:rFonts w:cs="Tahoma"/>
          <w:sz w:val="24"/>
          <w:szCs w:val="24"/>
        </w:rPr>
        <w:t>Durch gezielte Inputs der Expert</w:t>
      </w:r>
      <w:r w:rsidR="00A967BF" w:rsidRPr="00485A42">
        <w:rPr>
          <w:rFonts w:cs="Tahoma"/>
          <w:sz w:val="24"/>
          <w:szCs w:val="24"/>
        </w:rPr>
        <w:t>innen</w:t>
      </w:r>
      <w:r w:rsidRPr="00485A42">
        <w:rPr>
          <w:rFonts w:cs="Tahoma"/>
          <w:sz w:val="24"/>
          <w:szCs w:val="24"/>
        </w:rPr>
        <w:t xml:space="preserve"> und Erfahrungsaustausch soll die Weiterentwicklung der Umsetzung von Gender Budgeting in der Landesverwaltung erfolgen</w:t>
      </w:r>
      <w:r w:rsidR="001D7217" w:rsidRPr="00485A42">
        <w:rPr>
          <w:rFonts w:cs="Tahoma"/>
          <w:sz w:val="24"/>
          <w:szCs w:val="24"/>
        </w:rPr>
        <w:t>.</w:t>
      </w:r>
    </w:p>
    <w:p w:rsidR="001D7217" w:rsidRPr="003D0FE9" w:rsidRDefault="001D7217" w:rsidP="00296FC3">
      <w:pPr>
        <w:jc w:val="both"/>
        <w:rPr>
          <w:rFonts w:cs="Tahoma"/>
          <w:sz w:val="24"/>
          <w:szCs w:val="24"/>
        </w:rPr>
      </w:pPr>
    </w:p>
    <w:p w:rsidR="001D7217" w:rsidRPr="003D0FE9" w:rsidRDefault="001D7217" w:rsidP="00296FC3">
      <w:pPr>
        <w:jc w:val="both"/>
        <w:rPr>
          <w:rFonts w:cs="Tahoma"/>
          <w:sz w:val="24"/>
          <w:szCs w:val="24"/>
        </w:rPr>
      </w:pPr>
      <w:r w:rsidRPr="003D0FE9">
        <w:rPr>
          <w:rFonts w:cs="Tahoma"/>
          <w:sz w:val="24"/>
          <w:szCs w:val="24"/>
        </w:rPr>
        <w:t>Eine Informationsveranstaltung im Herbst 2020 für politische Mandatare verschiedener Fraktionen, soll das „Genderthema“ im politischen Diskurs stärker verankern.</w:t>
      </w:r>
    </w:p>
    <w:p w:rsidR="008359BB" w:rsidRPr="00411CB5" w:rsidRDefault="008359BB" w:rsidP="00296FC3">
      <w:pPr>
        <w:jc w:val="both"/>
        <w:rPr>
          <w:rFonts w:cs="Tahoma"/>
          <w:sz w:val="24"/>
          <w:szCs w:val="24"/>
        </w:rPr>
      </w:pPr>
    </w:p>
    <w:p w:rsidR="00F94C83" w:rsidRPr="00411CB5" w:rsidRDefault="00F94C83" w:rsidP="00296FC3">
      <w:pPr>
        <w:jc w:val="both"/>
        <w:rPr>
          <w:rFonts w:cs="Tahoma"/>
          <w:sz w:val="24"/>
          <w:szCs w:val="24"/>
        </w:rPr>
      </w:pPr>
      <w:r w:rsidRPr="00411CB5">
        <w:rPr>
          <w:rFonts w:cs="Tahoma"/>
          <w:sz w:val="24"/>
          <w:szCs w:val="24"/>
        </w:rPr>
        <w:t xml:space="preserve">Im Überbau zu Gender Budgeting gibt es innerhalb der Landesverwaltung ein </w:t>
      </w:r>
      <w:r w:rsidR="00424EFA">
        <w:rPr>
          <w:rFonts w:cs="Tahoma"/>
          <w:sz w:val="24"/>
          <w:szCs w:val="24"/>
        </w:rPr>
        <w:t xml:space="preserve">mit wesentlichen Entscheidungsträgern </w:t>
      </w:r>
      <w:r w:rsidRPr="00411CB5">
        <w:rPr>
          <w:rFonts w:cs="Tahoma"/>
          <w:sz w:val="24"/>
          <w:szCs w:val="24"/>
        </w:rPr>
        <w:t xml:space="preserve">besetztes „Gender-Begleitteam“, </w:t>
      </w:r>
      <w:r w:rsidR="002164FF" w:rsidRPr="00411CB5">
        <w:rPr>
          <w:rFonts w:cs="Tahoma"/>
          <w:sz w:val="24"/>
          <w:szCs w:val="24"/>
        </w:rPr>
        <w:t>das</w:t>
      </w:r>
      <w:r w:rsidRPr="00411CB5">
        <w:rPr>
          <w:rFonts w:cs="Tahoma"/>
          <w:sz w:val="24"/>
          <w:szCs w:val="24"/>
        </w:rPr>
        <w:t xml:space="preserve"> </w:t>
      </w:r>
      <w:r w:rsidR="00043541">
        <w:rPr>
          <w:rFonts w:cs="Tahoma"/>
          <w:sz w:val="24"/>
          <w:szCs w:val="24"/>
        </w:rPr>
        <w:t>regelmäßig</w:t>
      </w:r>
      <w:r w:rsidRPr="00411CB5">
        <w:rPr>
          <w:rFonts w:cs="Tahoma"/>
          <w:sz w:val="24"/>
          <w:szCs w:val="24"/>
        </w:rPr>
        <w:t xml:space="preserve"> zusammentritt, die Entwicklungen in diesem Bereich verfolgt, bewertet und Anregungen für die Weiter</w:t>
      </w:r>
      <w:r w:rsidR="00480F52">
        <w:rPr>
          <w:rFonts w:cs="Tahoma"/>
          <w:sz w:val="24"/>
          <w:szCs w:val="24"/>
        </w:rPr>
        <w:t>entwicklung des Prozesses gibt.</w:t>
      </w:r>
    </w:p>
    <w:bookmarkEnd w:id="0"/>
    <w:bookmarkEnd w:id="1"/>
    <w:p w:rsidR="001A6A5B" w:rsidRPr="00296FC3" w:rsidRDefault="001A6A5B" w:rsidP="00296FC3">
      <w:pPr>
        <w:rPr>
          <w:rFonts w:cs="Tahoma"/>
          <w:szCs w:val="22"/>
        </w:rPr>
      </w:pPr>
      <w:r w:rsidRPr="00296FC3">
        <w:rPr>
          <w:rFonts w:cs="Tahoma"/>
          <w:szCs w:val="22"/>
        </w:rPr>
        <w:br w:type="page"/>
      </w:r>
    </w:p>
    <w:p w:rsidR="007019E1" w:rsidRPr="00296FC3" w:rsidRDefault="007019E1" w:rsidP="00296FC3">
      <w:pPr>
        <w:pStyle w:val="berschrift1"/>
        <w:spacing w:before="0"/>
      </w:pPr>
      <w:r w:rsidRPr="00296FC3">
        <w:t xml:space="preserve">Das Landesbudget aus </w:t>
      </w:r>
      <w:r w:rsidR="004C75C3" w:rsidRPr="00296FC3">
        <w:t>Gleichstellungs</w:t>
      </w:r>
      <w:r w:rsidRPr="00296FC3">
        <w:t>-Perspektive</w:t>
      </w:r>
    </w:p>
    <w:p w:rsidR="002C152D" w:rsidRPr="00296FC3" w:rsidRDefault="002C152D" w:rsidP="00296FC3"/>
    <w:p w:rsidR="007019E1" w:rsidRPr="00DF43F1" w:rsidRDefault="007019E1" w:rsidP="00296FC3">
      <w:pPr>
        <w:pStyle w:val="berschrift2"/>
        <w:spacing w:before="0"/>
        <w:rPr>
          <w:sz w:val="24"/>
          <w:szCs w:val="24"/>
        </w:rPr>
      </w:pPr>
      <w:r w:rsidRPr="00DF43F1">
        <w:rPr>
          <w:sz w:val="24"/>
          <w:szCs w:val="24"/>
        </w:rPr>
        <w:t>Das Landesbudget – Aufbau</w:t>
      </w:r>
      <w:r w:rsidR="002761CA" w:rsidRPr="00DF43F1">
        <w:rPr>
          <w:sz w:val="24"/>
          <w:szCs w:val="24"/>
        </w:rPr>
        <w:t xml:space="preserve"> </w:t>
      </w:r>
    </w:p>
    <w:p w:rsidR="005E0721" w:rsidRPr="00DF43F1" w:rsidRDefault="005E0721" w:rsidP="005E0721">
      <w:pPr>
        <w:jc w:val="both"/>
        <w:rPr>
          <w:rFonts w:cs="Tahoma"/>
          <w:sz w:val="24"/>
          <w:szCs w:val="24"/>
        </w:rPr>
      </w:pPr>
      <w:r w:rsidRPr="00DF43F1">
        <w:rPr>
          <w:rFonts w:cs="Tahoma"/>
          <w:sz w:val="24"/>
          <w:szCs w:val="24"/>
        </w:rPr>
        <w:t xml:space="preserve">Ein Budget bildet </w:t>
      </w:r>
      <w:r>
        <w:rPr>
          <w:rFonts w:cs="Tahoma"/>
          <w:sz w:val="24"/>
          <w:szCs w:val="24"/>
        </w:rPr>
        <w:t xml:space="preserve">im Ergebnishaushalt </w:t>
      </w:r>
      <w:r w:rsidRPr="00DF43F1">
        <w:rPr>
          <w:rFonts w:cs="Tahoma"/>
          <w:sz w:val="24"/>
          <w:szCs w:val="24"/>
        </w:rPr>
        <w:t xml:space="preserve">die voraussichtlichen </w:t>
      </w:r>
      <w:r>
        <w:rPr>
          <w:rFonts w:cs="Tahoma"/>
          <w:sz w:val="24"/>
          <w:szCs w:val="24"/>
        </w:rPr>
        <w:t>Aufwendungen</w:t>
      </w:r>
      <w:r w:rsidRPr="00DF43F1">
        <w:rPr>
          <w:rFonts w:cs="Tahoma"/>
          <w:sz w:val="24"/>
          <w:szCs w:val="24"/>
        </w:rPr>
        <w:t xml:space="preserve"> und </w:t>
      </w:r>
      <w:r>
        <w:rPr>
          <w:rFonts w:cs="Tahoma"/>
          <w:sz w:val="24"/>
          <w:szCs w:val="24"/>
        </w:rPr>
        <w:t>Erträge und im</w:t>
      </w:r>
      <w:r w:rsidRPr="00DF43F1">
        <w:rPr>
          <w:rFonts w:cs="Tahoma"/>
          <w:sz w:val="24"/>
          <w:szCs w:val="24"/>
        </w:rPr>
        <w:t xml:space="preserve"> </w:t>
      </w:r>
      <w:r>
        <w:rPr>
          <w:rFonts w:cs="Tahoma"/>
          <w:sz w:val="24"/>
          <w:szCs w:val="24"/>
        </w:rPr>
        <w:t xml:space="preserve">Finanzierungshaushalt die voraussichtlichen Aus- und Einzahlungen </w:t>
      </w:r>
      <w:r w:rsidRPr="00DF43F1">
        <w:rPr>
          <w:rFonts w:cs="Tahoma"/>
          <w:sz w:val="24"/>
          <w:szCs w:val="24"/>
        </w:rPr>
        <w:t xml:space="preserve">des Landes in einem Haushaltsjahr ab. Das Budget ist unterteilt in zehn Budgetgruppen, die wiederum auf Ansätze und eine Vielzahl von Untervoranschlägen (z. B. Berufsschulen, Landesforstgarten, …) aufgeteilt sind. Innerhalb dieses Systems (VBK) gibt es über 7.000 einzelne Voranschlagsstellen. </w:t>
      </w:r>
    </w:p>
    <w:p w:rsidR="00F24DEF" w:rsidRPr="00DF43F1" w:rsidRDefault="00F24DEF" w:rsidP="00296FC3">
      <w:pPr>
        <w:jc w:val="both"/>
        <w:rPr>
          <w:rFonts w:cs="Tahoma"/>
          <w:sz w:val="24"/>
          <w:szCs w:val="24"/>
        </w:rPr>
      </w:pPr>
    </w:p>
    <w:p w:rsidR="002E02D2" w:rsidRPr="000373B6" w:rsidRDefault="007019E1" w:rsidP="00C633D4">
      <w:pPr>
        <w:pStyle w:val="berschrift2"/>
        <w:spacing w:before="0"/>
        <w:jc w:val="both"/>
        <w:rPr>
          <w:sz w:val="24"/>
          <w:szCs w:val="24"/>
        </w:rPr>
      </w:pPr>
      <w:r w:rsidRPr="000373B6">
        <w:rPr>
          <w:sz w:val="24"/>
          <w:szCs w:val="24"/>
        </w:rPr>
        <w:t xml:space="preserve">Das Landesbudget </w:t>
      </w:r>
      <w:r w:rsidR="004C75C3" w:rsidRPr="000373B6">
        <w:rPr>
          <w:sz w:val="24"/>
          <w:szCs w:val="24"/>
        </w:rPr>
        <w:t>202</w:t>
      </w:r>
      <w:r w:rsidR="00AB74E1" w:rsidRPr="000373B6">
        <w:rPr>
          <w:sz w:val="24"/>
          <w:szCs w:val="24"/>
        </w:rPr>
        <w:t>1</w:t>
      </w:r>
    </w:p>
    <w:p w:rsidR="005E0721" w:rsidRPr="00DF43F1" w:rsidRDefault="005E0721" w:rsidP="005E0721">
      <w:pPr>
        <w:jc w:val="both"/>
        <w:rPr>
          <w:rFonts w:cs="Tahoma"/>
          <w:sz w:val="24"/>
          <w:szCs w:val="24"/>
        </w:rPr>
      </w:pPr>
      <w:r w:rsidRPr="00DF43F1">
        <w:rPr>
          <w:rFonts w:cs="Tahoma"/>
          <w:sz w:val="24"/>
          <w:szCs w:val="24"/>
        </w:rPr>
        <w:t>Insgesamt sind für das Jahr 202</w:t>
      </w:r>
      <w:r w:rsidR="00AB74E1">
        <w:rPr>
          <w:rFonts w:cs="Tahoma"/>
          <w:sz w:val="24"/>
          <w:szCs w:val="24"/>
        </w:rPr>
        <w:t>1</w:t>
      </w:r>
      <w:r w:rsidRPr="00DF43F1">
        <w:rPr>
          <w:rFonts w:cs="Tahoma"/>
          <w:sz w:val="24"/>
          <w:szCs w:val="24"/>
        </w:rPr>
        <w:t xml:space="preserve"> </w:t>
      </w:r>
      <w:r w:rsidR="00424EFA">
        <w:rPr>
          <w:rFonts w:cs="Tahoma"/>
          <w:sz w:val="24"/>
          <w:szCs w:val="24"/>
        </w:rPr>
        <w:t xml:space="preserve">im Landesbudget </w:t>
      </w:r>
      <w:r w:rsidR="008359BB">
        <w:rPr>
          <w:rFonts w:cs="Tahoma"/>
          <w:sz w:val="24"/>
          <w:szCs w:val="24"/>
        </w:rPr>
        <w:t>Aufwendungen</w:t>
      </w:r>
      <w:r w:rsidR="00AB74E1">
        <w:rPr>
          <w:rFonts w:cs="Tahoma"/>
          <w:sz w:val="24"/>
          <w:szCs w:val="24"/>
        </w:rPr>
        <w:t xml:space="preserve"> </w:t>
      </w:r>
      <w:r w:rsidRPr="00DF43F1">
        <w:rPr>
          <w:rFonts w:cs="Tahoma"/>
          <w:sz w:val="24"/>
          <w:szCs w:val="24"/>
        </w:rPr>
        <w:t xml:space="preserve">in Höhe von rund </w:t>
      </w:r>
      <w:r>
        <w:rPr>
          <w:rFonts w:cs="Tahoma"/>
          <w:sz w:val="24"/>
          <w:szCs w:val="24"/>
        </w:rPr>
        <w:t>1,</w:t>
      </w:r>
      <w:r w:rsidR="008359BB">
        <w:rPr>
          <w:rFonts w:cs="Tahoma"/>
          <w:sz w:val="24"/>
          <w:szCs w:val="24"/>
        </w:rPr>
        <w:t>9</w:t>
      </w:r>
      <w:r w:rsidRPr="00DF43F1">
        <w:rPr>
          <w:rFonts w:cs="Tahoma"/>
          <w:sz w:val="24"/>
          <w:szCs w:val="24"/>
        </w:rPr>
        <w:t xml:space="preserve"> Mrd. Euro geplant.</w:t>
      </w:r>
      <w:r w:rsidR="008359BB">
        <w:rPr>
          <w:rFonts w:cs="Tahoma"/>
          <w:sz w:val="24"/>
          <w:szCs w:val="24"/>
        </w:rPr>
        <w:t xml:space="preserve"> </w:t>
      </w:r>
      <w:r w:rsidR="002C6DBE">
        <w:rPr>
          <w:rFonts w:cs="Tahoma"/>
          <w:sz w:val="24"/>
          <w:szCs w:val="24"/>
        </w:rPr>
        <w:t>A</w:t>
      </w:r>
      <w:r w:rsidR="008359BB">
        <w:rPr>
          <w:rFonts w:cs="Tahoma"/>
          <w:sz w:val="24"/>
          <w:szCs w:val="24"/>
        </w:rPr>
        <w:t xml:space="preserve">ufgrund der COVID-19 Krise </w:t>
      </w:r>
      <w:r w:rsidR="002C6DBE">
        <w:rPr>
          <w:rFonts w:cs="Tahoma"/>
          <w:sz w:val="24"/>
          <w:szCs w:val="24"/>
        </w:rPr>
        <w:t xml:space="preserve">ist </w:t>
      </w:r>
      <w:r w:rsidR="008359BB">
        <w:rPr>
          <w:rFonts w:cs="Tahoma"/>
          <w:sz w:val="24"/>
          <w:szCs w:val="24"/>
        </w:rPr>
        <w:t>mit einer beträchtlichen Nettoneuverschuldung zu rechnen</w:t>
      </w:r>
      <w:r w:rsidR="00424EFA">
        <w:rPr>
          <w:rFonts w:cs="Tahoma"/>
          <w:sz w:val="24"/>
          <w:szCs w:val="24"/>
        </w:rPr>
        <w:t>.</w:t>
      </w:r>
      <w:r w:rsidRPr="00DF43F1">
        <w:rPr>
          <w:rFonts w:cs="Tahoma"/>
          <w:sz w:val="24"/>
          <w:szCs w:val="24"/>
        </w:rPr>
        <w:t xml:space="preserve"> </w:t>
      </w:r>
      <w:r w:rsidR="0017175D">
        <w:rPr>
          <w:rFonts w:cs="Tahoma"/>
          <w:sz w:val="24"/>
          <w:szCs w:val="24"/>
        </w:rPr>
        <w:t xml:space="preserve"> </w:t>
      </w:r>
      <w:r w:rsidR="00924CE8">
        <w:rPr>
          <w:rFonts w:cs="Tahoma"/>
          <w:sz w:val="24"/>
          <w:szCs w:val="24"/>
        </w:rPr>
        <w:t xml:space="preserve">Für </w:t>
      </w:r>
      <w:r w:rsidR="00424EFA">
        <w:rPr>
          <w:rFonts w:cs="Tahoma"/>
          <w:sz w:val="24"/>
          <w:szCs w:val="24"/>
        </w:rPr>
        <w:t xml:space="preserve">Gender </w:t>
      </w:r>
      <w:proofErr w:type="spellStart"/>
      <w:r w:rsidR="00424EFA">
        <w:rPr>
          <w:rFonts w:cs="Tahoma"/>
          <w:sz w:val="24"/>
          <w:szCs w:val="24"/>
        </w:rPr>
        <w:t>Budgeting</w:t>
      </w:r>
      <w:proofErr w:type="spellEnd"/>
      <w:r w:rsidR="00424EFA">
        <w:rPr>
          <w:rFonts w:cs="Tahoma"/>
          <w:sz w:val="24"/>
          <w:szCs w:val="24"/>
        </w:rPr>
        <w:t xml:space="preserve"> </w:t>
      </w:r>
      <w:r w:rsidR="00924CE8">
        <w:rPr>
          <w:rFonts w:cs="Tahoma"/>
          <w:sz w:val="24"/>
          <w:szCs w:val="24"/>
        </w:rPr>
        <w:t xml:space="preserve">besonders wichtig und aussagekräftig sind </w:t>
      </w:r>
      <w:r w:rsidR="00424EFA">
        <w:rPr>
          <w:rFonts w:cs="Tahoma"/>
          <w:sz w:val="24"/>
          <w:szCs w:val="24"/>
        </w:rPr>
        <w:t>die Personalaufwendungen</w:t>
      </w:r>
      <w:r w:rsidR="00924CE8">
        <w:rPr>
          <w:rFonts w:cs="Tahoma"/>
          <w:sz w:val="24"/>
          <w:szCs w:val="24"/>
        </w:rPr>
        <w:t xml:space="preserve">, die </w:t>
      </w:r>
      <w:r w:rsidR="00424EFA">
        <w:rPr>
          <w:rFonts w:cs="Tahoma"/>
          <w:sz w:val="24"/>
          <w:szCs w:val="24"/>
        </w:rPr>
        <w:t xml:space="preserve">ca. 35% der gesamten </w:t>
      </w:r>
      <w:proofErr w:type="gramStart"/>
      <w:r w:rsidR="00424EFA">
        <w:rPr>
          <w:rFonts w:cs="Tahoma"/>
          <w:sz w:val="24"/>
          <w:szCs w:val="24"/>
        </w:rPr>
        <w:t>Landesaufwendungen  und</w:t>
      </w:r>
      <w:proofErr w:type="gramEnd"/>
      <w:r w:rsidR="00424EFA">
        <w:rPr>
          <w:rFonts w:cs="Tahoma"/>
          <w:sz w:val="24"/>
          <w:szCs w:val="24"/>
        </w:rPr>
        <w:t xml:space="preserve"> die Förderu</w:t>
      </w:r>
      <w:r w:rsidRPr="00DF43F1">
        <w:rPr>
          <w:rFonts w:cs="Tahoma"/>
          <w:sz w:val="24"/>
          <w:szCs w:val="24"/>
        </w:rPr>
        <w:t>ngs</w:t>
      </w:r>
      <w:r>
        <w:rPr>
          <w:rFonts w:cs="Tahoma"/>
          <w:sz w:val="24"/>
          <w:szCs w:val="24"/>
        </w:rPr>
        <w:t>aufwendungen</w:t>
      </w:r>
      <w:r w:rsidR="00924CE8">
        <w:rPr>
          <w:rFonts w:cs="Tahoma"/>
          <w:sz w:val="24"/>
          <w:szCs w:val="24"/>
        </w:rPr>
        <w:t xml:space="preserve">, die </w:t>
      </w:r>
      <w:r w:rsidR="0017175D">
        <w:rPr>
          <w:rFonts w:cs="Tahoma"/>
          <w:sz w:val="24"/>
          <w:szCs w:val="24"/>
        </w:rPr>
        <w:t>ca. 40% der Gesamtaufwendungen des Landes</w:t>
      </w:r>
      <w:r w:rsidR="00924CE8">
        <w:rPr>
          <w:rFonts w:cs="Tahoma"/>
          <w:sz w:val="24"/>
          <w:szCs w:val="24"/>
        </w:rPr>
        <w:t xml:space="preserve"> ausmachen (Aufteilung nach Gebarungsgruppen</w:t>
      </w:r>
      <w:r w:rsidR="0017175D">
        <w:rPr>
          <w:rFonts w:cs="Tahoma"/>
          <w:sz w:val="24"/>
          <w:szCs w:val="24"/>
        </w:rPr>
        <w:t>)</w:t>
      </w:r>
      <w:r w:rsidRPr="00DF43F1">
        <w:rPr>
          <w:rFonts w:cs="Tahoma"/>
          <w:sz w:val="24"/>
          <w:szCs w:val="24"/>
        </w:rPr>
        <w:t xml:space="preserve">. </w:t>
      </w:r>
    </w:p>
    <w:p w:rsidR="00B403AF" w:rsidRPr="00DF43F1" w:rsidRDefault="00B403AF" w:rsidP="00296FC3">
      <w:pPr>
        <w:jc w:val="both"/>
        <w:rPr>
          <w:rFonts w:cs="Tahoma"/>
          <w:sz w:val="24"/>
          <w:szCs w:val="24"/>
        </w:rPr>
      </w:pPr>
    </w:p>
    <w:p w:rsidR="007019E1" w:rsidRPr="00DF43F1" w:rsidRDefault="007019E1" w:rsidP="00296FC3">
      <w:pPr>
        <w:jc w:val="both"/>
        <w:rPr>
          <w:rFonts w:cs="Tahoma"/>
          <w:sz w:val="24"/>
          <w:szCs w:val="24"/>
        </w:rPr>
      </w:pPr>
      <w:r w:rsidRPr="00DF43F1">
        <w:rPr>
          <w:rFonts w:cs="Tahoma"/>
          <w:sz w:val="24"/>
          <w:szCs w:val="24"/>
        </w:rPr>
        <w:t xml:space="preserve">Aufgeteilt auf die zehn </w:t>
      </w:r>
      <w:r w:rsidRPr="00DF43F1">
        <w:rPr>
          <w:rFonts w:cs="Tahoma"/>
          <w:sz w:val="24"/>
          <w:szCs w:val="24"/>
          <w:u w:val="single"/>
        </w:rPr>
        <w:t xml:space="preserve">Budgetgruppen </w:t>
      </w:r>
      <w:r w:rsidRPr="00DF43F1">
        <w:rPr>
          <w:rFonts w:cs="Tahoma"/>
          <w:sz w:val="24"/>
          <w:szCs w:val="24"/>
        </w:rPr>
        <w:t xml:space="preserve">ergibt sich bei den </w:t>
      </w:r>
      <w:r w:rsidR="00531489" w:rsidRPr="00DF43F1">
        <w:rPr>
          <w:rFonts w:cs="Tahoma"/>
          <w:sz w:val="24"/>
          <w:szCs w:val="24"/>
        </w:rPr>
        <w:t>Aufwendungen lt. Ergebnishaushalt</w:t>
      </w:r>
      <w:r w:rsidRPr="00DF43F1">
        <w:rPr>
          <w:rFonts w:cs="Tahoma"/>
          <w:sz w:val="24"/>
          <w:szCs w:val="24"/>
        </w:rPr>
        <w:t xml:space="preserve"> für </w:t>
      </w:r>
      <w:r w:rsidR="004C75C3" w:rsidRPr="00DF43F1">
        <w:rPr>
          <w:rFonts w:cs="Tahoma"/>
          <w:sz w:val="24"/>
          <w:szCs w:val="24"/>
        </w:rPr>
        <w:t>202</w:t>
      </w:r>
      <w:r w:rsidR="00043541">
        <w:rPr>
          <w:rFonts w:cs="Tahoma"/>
          <w:sz w:val="24"/>
          <w:szCs w:val="24"/>
        </w:rPr>
        <w:t>1</w:t>
      </w:r>
      <w:r w:rsidR="004C75C3" w:rsidRPr="00DF43F1">
        <w:rPr>
          <w:rFonts w:cs="Tahoma"/>
          <w:sz w:val="24"/>
          <w:szCs w:val="24"/>
        </w:rPr>
        <w:t xml:space="preserve"> </w:t>
      </w:r>
      <w:r w:rsidRPr="00DF43F1">
        <w:rPr>
          <w:rFonts w:cs="Tahoma"/>
          <w:sz w:val="24"/>
          <w:szCs w:val="24"/>
        </w:rPr>
        <w:t>folgendes Bild:</w:t>
      </w:r>
    </w:p>
    <w:p w:rsidR="00476E9D" w:rsidRPr="00DF43F1" w:rsidRDefault="00476E9D" w:rsidP="00296FC3">
      <w:pPr>
        <w:jc w:val="both"/>
        <w:rPr>
          <w:rFonts w:cs="Tahoma"/>
          <w:sz w:val="24"/>
          <w:szCs w:val="24"/>
        </w:rPr>
      </w:pPr>
    </w:p>
    <w:p w:rsidR="007019E1" w:rsidRPr="00DF43F1" w:rsidRDefault="007019E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 xml:space="preserve">Vertretungskörper </w:t>
      </w:r>
      <w:r w:rsidR="002761CA" w:rsidRPr="00DF43F1">
        <w:rPr>
          <w:rFonts w:asciiTheme="minorHAnsi" w:hAnsiTheme="minorHAnsi" w:cs="Tahoma"/>
          <w:sz w:val="24"/>
          <w:szCs w:val="24"/>
        </w:rPr>
        <w:t>und Allgemeine Angelegenheiten</w:t>
      </w:r>
      <w:r w:rsidR="002761CA" w:rsidRPr="00DF43F1">
        <w:rPr>
          <w:rFonts w:asciiTheme="minorHAnsi" w:hAnsiTheme="minorHAnsi" w:cs="Tahoma"/>
          <w:sz w:val="24"/>
          <w:szCs w:val="24"/>
        </w:rPr>
        <w:tab/>
      </w:r>
      <w:r w:rsidRPr="00DF43F1">
        <w:rPr>
          <w:rFonts w:asciiTheme="minorHAnsi" w:hAnsiTheme="minorHAnsi" w:cs="Tahoma"/>
          <w:sz w:val="24"/>
          <w:szCs w:val="24"/>
        </w:rPr>
        <w:t>1</w:t>
      </w:r>
      <w:r w:rsidR="00707C68" w:rsidRPr="00DF43F1">
        <w:rPr>
          <w:rFonts w:asciiTheme="minorHAnsi" w:hAnsiTheme="minorHAnsi" w:cs="Tahoma"/>
          <w:sz w:val="24"/>
          <w:szCs w:val="24"/>
        </w:rPr>
        <w:t>1,</w:t>
      </w:r>
      <w:r w:rsidR="002C6DBE">
        <w:rPr>
          <w:rFonts w:asciiTheme="minorHAnsi" w:hAnsiTheme="minorHAnsi" w:cs="Tahoma"/>
          <w:sz w:val="24"/>
          <w:szCs w:val="24"/>
        </w:rPr>
        <w:t>78</w:t>
      </w:r>
      <w:r w:rsidRPr="00DF43F1">
        <w:rPr>
          <w:rFonts w:asciiTheme="minorHAnsi" w:hAnsiTheme="minorHAnsi" w:cs="Tahoma"/>
          <w:sz w:val="24"/>
          <w:szCs w:val="24"/>
        </w:rPr>
        <w:t xml:space="preserve"> % des Budgets</w:t>
      </w:r>
    </w:p>
    <w:p w:rsidR="007019E1" w:rsidRPr="00DF43F1" w:rsidRDefault="007019E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Öffentli</w:t>
      </w:r>
      <w:r w:rsidR="002761CA" w:rsidRPr="00DF43F1">
        <w:rPr>
          <w:rFonts w:asciiTheme="minorHAnsi" w:hAnsiTheme="minorHAnsi" w:cs="Tahoma"/>
          <w:sz w:val="24"/>
          <w:szCs w:val="24"/>
        </w:rPr>
        <w:t>che Ordnung und Sicherheit</w:t>
      </w:r>
      <w:proofErr w:type="gramStart"/>
      <w:r w:rsidR="002761CA" w:rsidRPr="00DF43F1">
        <w:rPr>
          <w:rFonts w:asciiTheme="minorHAnsi" w:hAnsiTheme="minorHAnsi" w:cs="Tahoma"/>
          <w:sz w:val="24"/>
          <w:szCs w:val="24"/>
        </w:rPr>
        <w:tab/>
      </w:r>
      <w:r w:rsidR="006808E9" w:rsidRPr="00DF43F1">
        <w:rPr>
          <w:rFonts w:asciiTheme="minorHAnsi" w:hAnsiTheme="minorHAnsi" w:cs="Tahoma"/>
          <w:sz w:val="24"/>
          <w:szCs w:val="24"/>
        </w:rPr>
        <w:t xml:space="preserve"> </w:t>
      </w:r>
      <w:r w:rsidR="00B403AF" w:rsidRPr="00DF43F1">
        <w:rPr>
          <w:rFonts w:asciiTheme="minorHAnsi" w:hAnsiTheme="minorHAnsi" w:cs="Tahoma"/>
          <w:sz w:val="24"/>
          <w:szCs w:val="24"/>
        </w:rPr>
        <w:t xml:space="preserve"> </w:t>
      </w:r>
      <w:r w:rsidRPr="00DF43F1">
        <w:rPr>
          <w:rFonts w:asciiTheme="minorHAnsi" w:hAnsiTheme="minorHAnsi" w:cs="Tahoma"/>
          <w:sz w:val="24"/>
          <w:szCs w:val="24"/>
        </w:rPr>
        <w:t>0</w:t>
      </w:r>
      <w:proofErr w:type="gramEnd"/>
      <w:r w:rsidRPr="00DF43F1">
        <w:rPr>
          <w:rFonts w:asciiTheme="minorHAnsi" w:hAnsiTheme="minorHAnsi" w:cs="Tahoma"/>
          <w:sz w:val="24"/>
          <w:szCs w:val="24"/>
        </w:rPr>
        <w:t>,</w:t>
      </w:r>
      <w:r w:rsidR="002C6DBE">
        <w:rPr>
          <w:rFonts w:asciiTheme="minorHAnsi" w:hAnsiTheme="minorHAnsi" w:cs="Tahoma"/>
          <w:sz w:val="24"/>
          <w:szCs w:val="24"/>
        </w:rPr>
        <w:t>50</w:t>
      </w:r>
      <w:r w:rsidRPr="00DF43F1">
        <w:rPr>
          <w:rFonts w:asciiTheme="minorHAnsi" w:hAnsiTheme="minorHAnsi" w:cs="Tahoma"/>
          <w:sz w:val="24"/>
          <w:szCs w:val="24"/>
        </w:rPr>
        <w:t xml:space="preserve"> % des Budgets</w:t>
      </w:r>
    </w:p>
    <w:p w:rsidR="007019E1" w:rsidRPr="00DF43F1" w:rsidRDefault="007019E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Unterricht, Erziehung, Sport und Wis</w:t>
      </w:r>
      <w:r w:rsidR="00DC5521" w:rsidRPr="00DF43F1">
        <w:rPr>
          <w:rFonts w:asciiTheme="minorHAnsi" w:hAnsiTheme="minorHAnsi" w:cs="Tahoma"/>
          <w:sz w:val="24"/>
          <w:szCs w:val="24"/>
        </w:rPr>
        <w:t>senschaft</w:t>
      </w:r>
      <w:r w:rsidR="00DC5521" w:rsidRPr="00DF43F1">
        <w:rPr>
          <w:rFonts w:asciiTheme="minorHAnsi" w:hAnsiTheme="minorHAnsi" w:cs="Tahoma"/>
          <w:sz w:val="24"/>
          <w:szCs w:val="24"/>
        </w:rPr>
        <w:tab/>
      </w:r>
      <w:r w:rsidRPr="00DF43F1">
        <w:rPr>
          <w:rFonts w:asciiTheme="minorHAnsi" w:hAnsiTheme="minorHAnsi" w:cs="Tahoma"/>
          <w:sz w:val="24"/>
          <w:szCs w:val="24"/>
        </w:rPr>
        <w:t>2</w:t>
      </w:r>
      <w:r w:rsidR="00531489" w:rsidRPr="00DF43F1">
        <w:rPr>
          <w:rFonts w:asciiTheme="minorHAnsi" w:hAnsiTheme="minorHAnsi" w:cs="Tahoma"/>
          <w:sz w:val="24"/>
          <w:szCs w:val="24"/>
        </w:rPr>
        <w:t>7</w:t>
      </w:r>
      <w:r w:rsidRPr="00DF43F1">
        <w:rPr>
          <w:rFonts w:asciiTheme="minorHAnsi" w:hAnsiTheme="minorHAnsi" w:cs="Tahoma"/>
          <w:sz w:val="24"/>
          <w:szCs w:val="24"/>
        </w:rPr>
        <w:t>,</w:t>
      </w:r>
      <w:r w:rsidR="002C6DBE">
        <w:rPr>
          <w:rFonts w:asciiTheme="minorHAnsi" w:hAnsiTheme="minorHAnsi" w:cs="Tahoma"/>
          <w:sz w:val="24"/>
          <w:szCs w:val="24"/>
        </w:rPr>
        <w:t>55</w:t>
      </w:r>
      <w:r w:rsidRPr="00DF43F1">
        <w:rPr>
          <w:rFonts w:asciiTheme="minorHAnsi" w:hAnsiTheme="minorHAnsi" w:cs="Tahoma"/>
          <w:sz w:val="24"/>
          <w:szCs w:val="24"/>
        </w:rPr>
        <w:t xml:space="preserve"> % des Budgets</w:t>
      </w:r>
    </w:p>
    <w:p w:rsidR="007019E1" w:rsidRPr="00DF43F1" w:rsidRDefault="00DC552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Kunst, Kultur und Kultus</w:t>
      </w:r>
      <w:proofErr w:type="gramStart"/>
      <w:r w:rsidRPr="00DF43F1">
        <w:rPr>
          <w:rFonts w:asciiTheme="minorHAnsi" w:hAnsiTheme="minorHAnsi" w:cs="Tahoma"/>
          <w:sz w:val="24"/>
          <w:szCs w:val="24"/>
        </w:rPr>
        <w:tab/>
      </w:r>
      <w:r w:rsidR="006808E9" w:rsidRPr="00DF43F1">
        <w:rPr>
          <w:rFonts w:asciiTheme="minorHAnsi" w:hAnsiTheme="minorHAnsi" w:cs="Tahoma"/>
          <w:sz w:val="24"/>
          <w:szCs w:val="24"/>
        </w:rPr>
        <w:t xml:space="preserve"> </w:t>
      </w:r>
      <w:r w:rsidR="00B403AF" w:rsidRPr="00DF43F1">
        <w:rPr>
          <w:rFonts w:asciiTheme="minorHAnsi" w:hAnsiTheme="minorHAnsi" w:cs="Tahoma"/>
          <w:sz w:val="24"/>
          <w:szCs w:val="24"/>
        </w:rPr>
        <w:t xml:space="preserve"> </w:t>
      </w:r>
      <w:r w:rsidR="007019E1" w:rsidRPr="00DF43F1">
        <w:rPr>
          <w:rFonts w:asciiTheme="minorHAnsi" w:hAnsiTheme="minorHAnsi" w:cs="Tahoma"/>
          <w:sz w:val="24"/>
          <w:szCs w:val="24"/>
        </w:rPr>
        <w:t>2</w:t>
      </w:r>
      <w:proofErr w:type="gramEnd"/>
      <w:r w:rsidR="007019E1" w:rsidRPr="00DF43F1">
        <w:rPr>
          <w:rFonts w:asciiTheme="minorHAnsi" w:hAnsiTheme="minorHAnsi" w:cs="Tahoma"/>
          <w:sz w:val="24"/>
          <w:szCs w:val="24"/>
        </w:rPr>
        <w:t>,</w:t>
      </w:r>
      <w:r w:rsidR="002C6DBE">
        <w:rPr>
          <w:rFonts w:asciiTheme="minorHAnsi" w:hAnsiTheme="minorHAnsi" w:cs="Tahoma"/>
          <w:sz w:val="24"/>
          <w:szCs w:val="24"/>
        </w:rPr>
        <w:t>53</w:t>
      </w:r>
      <w:r w:rsidR="007019E1" w:rsidRPr="00DF43F1">
        <w:rPr>
          <w:rFonts w:asciiTheme="minorHAnsi" w:hAnsiTheme="minorHAnsi" w:cs="Tahoma"/>
          <w:sz w:val="24"/>
          <w:szCs w:val="24"/>
        </w:rPr>
        <w:t xml:space="preserve"> % des Budgets</w:t>
      </w:r>
    </w:p>
    <w:p w:rsidR="007019E1" w:rsidRPr="00DF43F1" w:rsidRDefault="007019E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Soziale W</w:t>
      </w:r>
      <w:r w:rsidR="00DC5521" w:rsidRPr="00DF43F1">
        <w:rPr>
          <w:rFonts w:asciiTheme="minorHAnsi" w:hAnsiTheme="minorHAnsi" w:cs="Tahoma"/>
          <w:sz w:val="24"/>
          <w:szCs w:val="24"/>
        </w:rPr>
        <w:t>ohlfahrt und Wohnbauförderung</w:t>
      </w:r>
      <w:r w:rsidR="00DC5521" w:rsidRPr="00DF43F1">
        <w:rPr>
          <w:rFonts w:asciiTheme="minorHAnsi" w:hAnsiTheme="minorHAnsi" w:cs="Tahoma"/>
          <w:sz w:val="24"/>
          <w:szCs w:val="24"/>
        </w:rPr>
        <w:tab/>
      </w:r>
      <w:r w:rsidR="00F43C69" w:rsidRPr="00DF43F1">
        <w:rPr>
          <w:rFonts w:asciiTheme="minorHAnsi" w:hAnsiTheme="minorHAnsi" w:cs="Tahoma"/>
          <w:sz w:val="24"/>
          <w:szCs w:val="24"/>
        </w:rPr>
        <w:t>1</w:t>
      </w:r>
      <w:r w:rsidR="00531489" w:rsidRPr="00DF43F1">
        <w:rPr>
          <w:rFonts w:asciiTheme="minorHAnsi" w:hAnsiTheme="minorHAnsi" w:cs="Tahoma"/>
          <w:sz w:val="24"/>
          <w:szCs w:val="24"/>
        </w:rPr>
        <w:t>3</w:t>
      </w:r>
      <w:r w:rsidR="00F43C69" w:rsidRPr="00DF43F1">
        <w:rPr>
          <w:rFonts w:asciiTheme="minorHAnsi" w:hAnsiTheme="minorHAnsi" w:cs="Tahoma"/>
          <w:sz w:val="24"/>
          <w:szCs w:val="24"/>
        </w:rPr>
        <w:t>,</w:t>
      </w:r>
      <w:r w:rsidR="002C6DBE">
        <w:rPr>
          <w:rFonts w:asciiTheme="minorHAnsi" w:hAnsiTheme="minorHAnsi" w:cs="Tahoma"/>
          <w:sz w:val="24"/>
          <w:szCs w:val="24"/>
        </w:rPr>
        <w:t>54</w:t>
      </w:r>
      <w:r w:rsidRPr="00DF43F1">
        <w:rPr>
          <w:rFonts w:asciiTheme="minorHAnsi" w:hAnsiTheme="minorHAnsi" w:cs="Tahoma"/>
          <w:sz w:val="24"/>
          <w:szCs w:val="24"/>
        </w:rPr>
        <w:t xml:space="preserve"> % des Budgets</w:t>
      </w:r>
    </w:p>
    <w:p w:rsidR="007019E1" w:rsidRPr="00DF43F1" w:rsidRDefault="00DC552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Gesundheit</w:t>
      </w:r>
      <w:r w:rsidRPr="00DF43F1">
        <w:rPr>
          <w:rFonts w:asciiTheme="minorHAnsi" w:hAnsiTheme="minorHAnsi" w:cs="Tahoma"/>
          <w:sz w:val="24"/>
          <w:szCs w:val="24"/>
        </w:rPr>
        <w:tab/>
      </w:r>
      <w:r w:rsidR="007019E1" w:rsidRPr="00DF43F1">
        <w:rPr>
          <w:rFonts w:asciiTheme="minorHAnsi" w:hAnsiTheme="minorHAnsi" w:cs="Tahoma"/>
          <w:sz w:val="24"/>
          <w:szCs w:val="24"/>
        </w:rPr>
        <w:t>2</w:t>
      </w:r>
      <w:r w:rsidR="00531489" w:rsidRPr="00DF43F1">
        <w:rPr>
          <w:rFonts w:asciiTheme="minorHAnsi" w:hAnsiTheme="minorHAnsi" w:cs="Tahoma"/>
          <w:sz w:val="24"/>
          <w:szCs w:val="24"/>
        </w:rPr>
        <w:t>7</w:t>
      </w:r>
      <w:r w:rsidR="007019E1" w:rsidRPr="00DF43F1">
        <w:rPr>
          <w:rFonts w:asciiTheme="minorHAnsi" w:hAnsiTheme="minorHAnsi" w:cs="Tahoma"/>
          <w:sz w:val="24"/>
          <w:szCs w:val="24"/>
        </w:rPr>
        <w:t>,</w:t>
      </w:r>
      <w:r w:rsidR="002C6DBE">
        <w:rPr>
          <w:rFonts w:asciiTheme="minorHAnsi" w:hAnsiTheme="minorHAnsi" w:cs="Tahoma"/>
          <w:sz w:val="24"/>
          <w:szCs w:val="24"/>
        </w:rPr>
        <w:t>62</w:t>
      </w:r>
      <w:r w:rsidR="007019E1" w:rsidRPr="00DF43F1">
        <w:rPr>
          <w:rFonts w:asciiTheme="minorHAnsi" w:hAnsiTheme="minorHAnsi" w:cs="Tahoma"/>
          <w:sz w:val="24"/>
          <w:szCs w:val="24"/>
        </w:rPr>
        <w:t xml:space="preserve"> % des Budgets</w:t>
      </w:r>
    </w:p>
    <w:p w:rsidR="007019E1" w:rsidRPr="00DF43F1" w:rsidRDefault="007019E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Straß</w:t>
      </w:r>
      <w:r w:rsidR="00DC5521" w:rsidRPr="00DF43F1">
        <w:rPr>
          <w:rFonts w:asciiTheme="minorHAnsi" w:hAnsiTheme="minorHAnsi" w:cs="Tahoma"/>
          <w:sz w:val="24"/>
          <w:szCs w:val="24"/>
        </w:rPr>
        <w:t>en- und Wasserbau, Verkehr</w:t>
      </w:r>
      <w:proofErr w:type="gramStart"/>
      <w:r w:rsidR="00DC5521" w:rsidRPr="00DF43F1">
        <w:rPr>
          <w:rFonts w:asciiTheme="minorHAnsi" w:hAnsiTheme="minorHAnsi" w:cs="Tahoma"/>
          <w:sz w:val="24"/>
          <w:szCs w:val="24"/>
        </w:rPr>
        <w:tab/>
      </w:r>
      <w:r w:rsidR="00B403AF" w:rsidRPr="00DF43F1">
        <w:rPr>
          <w:rFonts w:asciiTheme="minorHAnsi" w:hAnsiTheme="minorHAnsi" w:cs="Tahoma"/>
          <w:sz w:val="24"/>
          <w:szCs w:val="24"/>
        </w:rPr>
        <w:t xml:space="preserve"> </w:t>
      </w:r>
      <w:r w:rsidR="006808E9" w:rsidRPr="00DF43F1">
        <w:rPr>
          <w:rFonts w:asciiTheme="minorHAnsi" w:hAnsiTheme="minorHAnsi" w:cs="Tahoma"/>
          <w:sz w:val="24"/>
          <w:szCs w:val="24"/>
        </w:rPr>
        <w:t xml:space="preserve"> </w:t>
      </w:r>
      <w:r w:rsidR="00531489" w:rsidRPr="00DF43F1">
        <w:rPr>
          <w:rFonts w:asciiTheme="minorHAnsi" w:hAnsiTheme="minorHAnsi" w:cs="Tahoma"/>
          <w:sz w:val="24"/>
          <w:szCs w:val="24"/>
        </w:rPr>
        <w:t>7</w:t>
      </w:r>
      <w:proofErr w:type="gramEnd"/>
      <w:r w:rsidRPr="00DF43F1">
        <w:rPr>
          <w:rFonts w:asciiTheme="minorHAnsi" w:hAnsiTheme="minorHAnsi" w:cs="Tahoma"/>
          <w:sz w:val="24"/>
          <w:szCs w:val="24"/>
        </w:rPr>
        <w:t>,</w:t>
      </w:r>
      <w:r w:rsidR="002C6DBE">
        <w:rPr>
          <w:rFonts w:asciiTheme="minorHAnsi" w:hAnsiTheme="minorHAnsi" w:cs="Tahoma"/>
          <w:sz w:val="24"/>
          <w:szCs w:val="24"/>
        </w:rPr>
        <w:t>29</w:t>
      </w:r>
      <w:r w:rsidRPr="00DF43F1">
        <w:rPr>
          <w:rFonts w:asciiTheme="minorHAnsi" w:hAnsiTheme="minorHAnsi" w:cs="Tahoma"/>
          <w:sz w:val="24"/>
          <w:szCs w:val="24"/>
        </w:rPr>
        <w:t xml:space="preserve"> % des Budgets</w:t>
      </w:r>
    </w:p>
    <w:p w:rsidR="007019E1" w:rsidRPr="00DF43F1" w:rsidRDefault="00DC552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Wirtschaftsförderung</w:t>
      </w:r>
      <w:proofErr w:type="gramStart"/>
      <w:r w:rsidR="002761CA" w:rsidRPr="00DF43F1">
        <w:rPr>
          <w:rFonts w:asciiTheme="minorHAnsi" w:hAnsiTheme="minorHAnsi" w:cs="Tahoma"/>
          <w:sz w:val="24"/>
          <w:szCs w:val="24"/>
        </w:rPr>
        <w:tab/>
      </w:r>
      <w:r w:rsidR="006808E9" w:rsidRPr="00DF43F1">
        <w:rPr>
          <w:rFonts w:asciiTheme="minorHAnsi" w:hAnsiTheme="minorHAnsi" w:cs="Tahoma"/>
          <w:sz w:val="24"/>
          <w:szCs w:val="24"/>
        </w:rPr>
        <w:t xml:space="preserve"> </w:t>
      </w:r>
      <w:r w:rsidR="00B403AF" w:rsidRPr="00DF43F1">
        <w:rPr>
          <w:rFonts w:asciiTheme="minorHAnsi" w:hAnsiTheme="minorHAnsi" w:cs="Tahoma"/>
          <w:sz w:val="24"/>
          <w:szCs w:val="24"/>
        </w:rPr>
        <w:t xml:space="preserve"> </w:t>
      </w:r>
      <w:r w:rsidR="00531489" w:rsidRPr="00DF43F1">
        <w:rPr>
          <w:rFonts w:asciiTheme="minorHAnsi" w:hAnsiTheme="minorHAnsi" w:cs="Tahoma"/>
          <w:sz w:val="24"/>
          <w:szCs w:val="24"/>
        </w:rPr>
        <w:t>4</w:t>
      </w:r>
      <w:proofErr w:type="gramEnd"/>
      <w:r w:rsidR="007019E1" w:rsidRPr="00DF43F1">
        <w:rPr>
          <w:rFonts w:asciiTheme="minorHAnsi" w:hAnsiTheme="minorHAnsi" w:cs="Tahoma"/>
          <w:sz w:val="24"/>
          <w:szCs w:val="24"/>
        </w:rPr>
        <w:t>,</w:t>
      </w:r>
      <w:r w:rsidR="002C6DBE">
        <w:rPr>
          <w:rFonts w:asciiTheme="minorHAnsi" w:hAnsiTheme="minorHAnsi" w:cs="Tahoma"/>
          <w:sz w:val="24"/>
          <w:szCs w:val="24"/>
        </w:rPr>
        <w:t>48</w:t>
      </w:r>
      <w:r w:rsidR="00AB706B" w:rsidRPr="00DF43F1">
        <w:rPr>
          <w:rFonts w:asciiTheme="minorHAnsi" w:hAnsiTheme="minorHAnsi" w:cs="Tahoma"/>
          <w:sz w:val="24"/>
          <w:szCs w:val="24"/>
        </w:rPr>
        <w:t xml:space="preserve"> </w:t>
      </w:r>
      <w:r w:rsidR="007019E1" w:rsidRPr="00DF43F1">
        <w:rPr>
          <w:rFonts w:asciiTheme="minorHAnsi" w:hAnsiTheme="minorHAnsi" w:cs="Tahoma"/>
          <w:sz w:val="24"/>
          <w:szCs w:val="24"/>
        </w:rPr>
        <w:t>% des Budgets</w:t>
      </w:r>
    </w:p>
    <w:p w:rsidR="007019E1" w:rsidRPr="00DF43F1" w:rsidRDefault="00DC552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Dienstleistungen</w:t>
      </w:r>
      <w:proofErr w:type="gramStart"/>
      <w:r w:rsidR="002761CA" w:rsidRPr="00DF43F1">
        <w:rPr>
          <w:rFonts w:asciiTheme="minorHAnsi" w:hAnsiTheme="minorHAnsi" w:cs="Tahoma"/>
          <w:sz w:val="24"/>
          <w:szCs w:val="24"/>
        </w:rPr>
        <w:tab/>
      </w:r>
      <w:r w:rsidR="006808E9" w:rsidRPr="00DF43F1">
        <w:rPr>
          <w:rFonts w:asciiTheme="minorHAnsi" w:hAnsiTheme="minorHAnsi" w:cs="Tahoma"/>
          <w:sz w:val="24"/>
          <w:szCs w:val="24"/>
        </w:rPr>
        <w:t xml:space="preserve"> </w:t>
      </w:r>
      <w:r w:rsidR="00B403AF" w:rsidRPr="00DF43F1">
        <w:rPr>
          <w:rFonts w:asciiTheme="minorHAnsi" w:hAnsiTheme="minorHAnsi" w:cs="Tahoma"/>
          <w:sz w:val="24"/>
          <w:szCs w:val="24"/>
        </w:rPr>
        <w:t xml:space="preserve"> </w:t>
      </w:r>
      <w:r w:rsidR="007019E1" w:rsidRPr="00DF43F1">
        <w:rPr>
          <w:rFonts w:asciiTheme="minorHAnsi" w:hAnsiTheme="minorHAnsi" w:cs="Tahoma"/>
          <w:sz w:val="24"/>
          <w:szCs w:val="24"/>
        </w:rPr>
        <w:t>0</w:t>
      </w:r>
      <w:proofErr w:type="gramEnd"/>
      <w:r w:rsidR="007019E1" w:rsidRPr="00DF43F1">
        <w:rPr>
          <w:rFonts w:asciiTheme="minorHAnsi" w:hAnsiTheme="minorHAnsi" w:cs="Tahoma"/>
          <w:sz w:val="24"/>
          <w:szCs w:val="24"/>
        </w:rPr>
        <w:t>,</w:t>
      </w:r>
      <w:r w:rsidR="002C6DBE">
        <w:rPr>
          <w:rFonts w:asciiTheme="minorHAnsi" w:hAnsiTheme="minorHAnsi" w:cs="Tahoma"/>
          <w:sz w:val="24"/>
          <w:szCs w:val="24"/>
        </w:rPr>
        <w:t>58</w:t>
      </w:r>
      <w:r w:rsidR="007019E1" w:rsidRPr="00DF43F1">
        <w:rPr>
          <w:rFonts w:asciiTheme="minorHAnsi" w:hAnsiTheme="minorHAnsi" w:cs="Tahoma"/>
          <w:sz w:val="24"/>
          <w:szCs w:val="24"/>
        </w:rPr>
        <w:t xml:space="preserve"> % des Budgets</w:t>
      </w:r>
    </w:p>
    <w:p w:rsidR="007019E1" w:rsidRPr="00DF43F1" w:rsidRDefault="00DC5521" w:rsidP="00296FC3">
      <w:pPr>
        <w:pStyle w:val="Listenabsatz"/>
        <w:numPr>
          <w:ilvl w:val="0"/>
          <w:numId w:val="8"/>
        </w:numPr>
        <w:tabs>
          <w:tab w:val="left" w:pos="6237"/>
        </w:tabs>
        <w:jc w:val="both"/>
        <w:rPr>
          <w:rFonts w:asciiTheme="minorHAnsi" w:hAnsiTheme="minorHAnsi" w:cs="Tahoma"/>
          <w:sz w:val="24"/>
          <w:szCs w:val="24"/>
        </w:rPr>
      </w:pPr>
      <w:r w:rsidRPr="00DF43F1">
        <w:rPr>
          <w:rFonts w:asciiTheme="minorHAnsi" w:hAnsiTheme="minorHAnsi" w:cs="Tahoma"/>
          <w:sz w:val="24"/>
          <w:szCs w:val="24"/>
        </w:rPr>
        <w:t>Finanzwirtschaft</w:t>
      </w:r>
      <w:proofErr w:type="gramStart"/>
      <w:r w:rsidR="002761CA" w:rsidRPr="00DF43F1">
        <w:rPr>
          <w:rFonts w:asciiTheme="minorHAnsi" w:hAnsiTheme="minorHAnsi" w:cs="Tahoma"/>
          <w:sz w:val="24"/>
          <w:szCs w:val="24"/>
        </w:rPr>
        <w:tab/>
      </w:r>
      <w:r w:rsidR="00B403AF" w:rsidRPr="00DF43F1">
        <w:rPr>
          <w:rFonts w:asciiTheme="minorHAnsi" w:hAnsiTheme="minorHAnsi" w:cs="Tahoma"/>
          <w:sz w:val="24"/>
          <w:szCs w:val="24"/>
        </w:rPr>
        <w:t xml:space="preserve"> </w:t>
      </w:r>
      <w:r w:rsidR="006808E9" w:rsidRPr="00DF43F1">
        <w:rPr>
          <w:rFonts w:asciiTheme="minorHAnsi" w:hAnsiTheme="minorHAnsi" w:cs="Tahoma"/>
          <w:sz w:val="24"/>
          <w:szCs w:val="24"/>
        </w:rPr>
        <w:t xml:space="preserve"> </w:t>
      </w:r>
      <w:r w:rsidR="00FB67D8" w:rsidRPr="00DF43F1">
        <w:rPr>
          <w:rFonts w:asciiTheme="minorHAnsi" w:hAnsiTheme="minorHAnsi" w:cs="Tahoma"/>
          <w:sz w:val="24"/>
          <w:szCs w:val="24"/>
        </w:rPr>
        <w:t>4</w:t>
      </w:r>
      <w:proofErr w:type="gramEnd"/>
      <w:r w:rsidR="007019E1" w:rsidRPr="00DF43F1">
        <w:rPr>
          <w:rFonts w:asciiTheme="minorHAnsi" w:hAnsiTheme="minorHAnsi" w:cs="Tahoma"/>
          <w:sz w:val="24"/>
          <w:szCs w:val="24"/>
        </w:rPr>
        <w:t>,</w:t>
      </w:r>
      <w:r w:rsidR="002C6DBE">
        <w:rPr>
          <w:rFonts w:asciiTheme="minorHAnsi" w:hAnsiTheme="minorHAnsi" w:cs="Tahoma"/>
          <w:sz w:val="24"/>
          <w:szCs w:val="24"/>
        </w:rPr>
        <w:t>13</w:t>
      </w:r>
      <w:r w:rsidR="00AB706B" w:rsidRPr="00DF43F1">
        <w:rPr>
          <w:rFonts w:asciiTheme="minorHAnsi" w:hAnsiTheme="minorHAnsi" w:cs="Tahoma"/>
          <w:sz w:val="24"/>
          <w:szCs w:val="24"/>
        </w:rPr>
        <w:t xml:space="preserve"> </w:t>
      </w:r>
      <w:r w:rsidR="007019E1" w:rsidRPr="00DF43F1">
        <w:rPr>
          <w:rFonts w:asciiTheme="minorHAnsi" w:hAnsiTheme="minorHAnsi" w:cs="Tahoma"/>
          <w:sz w:val="24"/>
          <w:szCs w:val="24"/>
        </w:rPr>
        <w:t>% des Budgets</w:t>
      </w:r>
    </w:p>
    <w:p w:rsidR="00D76834" w:rsidRPr="00DF43F1" w:rsidRDefault="00D76834" w:rsidP="00296FC3">
      <w:pPr>
        <w:ind w:left="360"/>
        <w:jc w:val="both"/>
        <w:rPr>
          <w:rFonts w:cs="Tahoma"/>
          <w:sz w:val="24"/>
          <w:szCs w:val="24"/>
        </w:rPr>
      </w:pPr>
    </w:p>
    <w:p w:rsidR="00531489" w:rsidRDefault="00531489" w:rsidP="00296FC3">
      <w:pPr>
        <w:ind w:left="360"/>
        <w:jc w:val="both"/>
        <w:rPr>
          <w:rFonts w:cs="Tahoma"/>
          <w:sz w:val="24"/>
          <w:szCs w:val="24"/>
        </w:rPr>
      </w:pPr>
    </w:p>
    <w:p w:rsidR="00DE73A4" w:rsidRPr="00DF43F1" w:rsidRDefault="00DE73A4" w:rsidP="00296FC3">
      <w:pPr>
        <w:ind w:left="360"/>
        <w:jc w:val="both"/>
        <w:rPr>
          <w:rFonts w:cs="Tahoma"/>
          <w:sz w:val="24"/>
          <w:szCs w:val="24"/>
        </w:rPr>
      </w:pPr>
      <w:r>
        <w:rPr>
          <w:noProof/>
        </w:rPr>
        <w:drawing>
          <wp:inline distT="0" distB="0" distL="0" distR="0" wp14:anchorId="16620AEB" wp14:editId="6E61314B">
            <wp:extent cx="5245735" cy="4015740"/>
            <wp:effectExtent l="0" t="0" r="12065" b="381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31489" w:rsidRPr="00DF43F1" w:rsidRDefault="00531489" w:rsidP="00296FC3">
      <w:pPr>
        <w:ind w:left="360"/>
        <w:jc w:val="both"/>
        <w:rPr>
          <w:rFonts w:cs="Tahoma"/>
          <w:sz w:val="24"/>
          <w:szCs w:val="24"/>
        </w:rPr>
      </w:pPr>
    </w:p>
    <w:p w:rsidR="005E0721" w:rsidRPr="00DF43F1" w:rsidRDefault="005E0721" w:rsidP="005E0721">
      <w:pPr>
        <w:jc w:val="both"/>
        <w:rPr>
          <w:rFonts w:cs="Tahoma"/>
          <w:sz w:val="24"/>
          <w:szCs w:val="24"/>
        </w:rPr>
      </w:pPr>
      <w:r w:rsidRPr="00DF43F1">
        <w:rPr>
          <w:rFonts w:cs="Tahoma"/>
          <w:sz w:val="24"/>
          <w:szCs w:val="24"/>
        </w:rPr>
        <w:t>Anhand dieser Budgetgruppen zeigt sich, dass die wesentlichen</w:t>
      </w:r>
      <w:r>
        <w:rPr>
          <w:rFonts w:cs="Tahoma"/>
          <w:sz w:val="24"/>
          <w:szCs w:val="24"/>
        </w:rPr>
        <w:t xml:space="preserve"> Aufwandsbereiche</w:t>
      </w:r>
      <w:r w:rsidRPr="00DF43F1">
        <w:rPr>
          <w:rFonts w:cs="Tahoma"/>
          <w:sz w:val="24"/>
          <w:szCs w:val="24"/>
        </w:rPr>
        <w:t xml:space="preserve"> Gesundheit (27,</w:t>
      </w:r>
      <w:r w:rsidR="002C6DBE">
        <w:rPr>
          <w:rFonts w:cs="Tahoma"/>
          <w:sz w:val="24"/>
          <w:szCs w:val="24"/>
        </w:rPr>
        <w:t>62</w:t>
      </w:r>
      <w:r w:rsidRPr="00DF43F1">
        <w:rPr>
          <w:rFonts w:cs="Tahoma"/>
          <w:sz w:val="24"/>
          <w:szCs w:val="24"/>
        </w:rPr>
        <w:t>%) und Unterricht, Erziehung, Sport und Wissenschaft (27,</w:t>
      </w:r>
      <w:r w:rsidR="002C6DBE">
        <w:rPr>
          <w:rFonts w:cs="Tahoma"/>
          <w:sz w:val="24"/>
          <w:szCs w:val="24"/>
        </w:rPr>
        <w:t>55</w:t>
      </w:r>
      <w:r w:rsidRPr="00DF43F1">
        <w:rPr>
          <w:rFonts w:cs="Tahoma"/>
          <w:sz w:val="24"/>
          <w:szCs w:val="24"/>
        </w:rPr>
        <w:t>%), sowie die Soziale Wohlfahrt, inkl. Wohnbauförderung (13,</w:t>
      </w:r>
      <w:r w:rsidR="002C6DBE">
        <w:rPr>
          <w:rFonts w:cs="Tahoma"/>
          <w:sz w:val="24"/>
          <w:szCs w:val="24"/>
        </w:rPr>
        <w:t>54</w:t>
      </w:r>
      <w:r w:rsidRPr="00DF43F1">
        <w:rPr>
          <w:rFonts w:cs="Tahoma"/>
          <w:sz w:val="24"/>
          <w:szCs w:val="24"/>
        </w:rPr>
        <w:t>%) darstellen.</w:t>
      </w:r>
    </w:p>
    <w:p w:rsidR="002E02D2" w:rsidRPr="00DF43F1" w:rsidRDefault="002E02D2" w:rsidP="00296FC3">
      <w:pPr>
        <w:jc w:val="both"/>
        <w:rPr>
          <w:rFonts w:cs="Tahoma"/>
          <w:sz w:val="24"/>
          <w:szCs w:val="24"/>
        </w:rPr>
      </w:pPr>
    </w:p>
    <w:p w:rsidR="00F24DEF" w:rsidRPr="00DF43F1" w:rsidRDefault="00F24DEF" w:rsidP="00296FC3">
      <w:pPr>
        <w:jc w:val="both"/>
        <w:rPr>
          <w:rFonts w:cs="Tahoma"/>
          <w:sz w:val="24"/>
          <w:szCs w:val="24"/>
        </w:rPr>
      </w:pPr>
    </w:p>
    <w:p w:rsidR="007019E1" w:rsidRPr="00480F52" w:rsidRDefault="007019E1" w:rsidP="00296FC3">
      <w:pPr>
        <w:pStyle w:val="berschrift1"/>
        <w:spacing w:before="0"/>
        <w:rPr>
          <w:szCs w:val="26"/>
        </w:rPr>
      </w:pPr>
      <w:r w:rsidRPr="00480F52">
        <w:rPr>
          <w:szCs w:val="26"/>
        </w:rPr>
        <w:t>Zusammenschau und Auswertung</w:t>
      </w:r>
    </w:p>
    <w:p w:rsidR="00997BCE" w:rsidRPr="00DF43F1" w:rsidRDefault="00997BCE" w:rsidP="00296FC3">
      <w:pPr>
        <w:rPr>
          <w:sz w:val="24"/>
          <w:szCs w:val="24"/>
        </w:rPr>
      </w:pPr>
    </w:p>
    <w:p w:rsidR="007019E1" w:rsidRPr="00DF43F1" w:rsidRDefault="007019E1" w:rsidP="00296FC3">
      <w:pPr>
        <w:pStyle w:val="berschrift2"/>
        <w:spacing w:before="0"/>
        <w:rPr>
          <w:sz w:val="24"/>
          <w:szCs w:val="24"/>
        </w:rPr>
      </w:pPr>
      <w:r w:rsidRPr="00DF43F1">
        <w:rPr>
          <w:sz w:val="24"/>
          <w:szCs w:val="24"/>
        </w:rPr>
        <w:t>Zusammenschau über die Rückmeldungen zu Gender Budgeting</w:t>
      </w:r>
    </w:p>
    <w:p w:rsidR="00A078B2" w:rsidRPr="00A078B2" w:rsidRDefault="00A078B2" w:rsidP="00A078B2">
      <w:pPr>
        <w:pStyle w:val="KeinLeerraum1"/>
        <w:numPr>
          <w:ilvl w:val="0"/>
          <w:numId w:val="3"/>
        </w:numPr>
        <w:spacing w:line="276" w:lineRule="auto"/>
        <w:jc w:val="both"/>
        <w:rPr>
          <w:rFonts w:cs="Tahoma"/>
          <w:sz w:val="24"/>
          <w:szCs w:val="24"/>
        </w:rPr>
      </w:pPr>
      <w:r w:rsidRPr="00A078B2">
        <w:rPr>
          <w:rFonts w:asciiTheme="minorHAnsi" w:hAnsiTheme="minorHAnsi" w:cs="Tahoma"/>
          <w:sz w:val="24"/>
          <w:szCs w:val="24"/>
        </w:rPr>
        <w:t xml:space="preserve">In diesem Bericht werden die von den Abteilungen zur Verfügung gestellten und gesammelten Daten zusammengefasst. Insbesondere das Aufbereiten statistischer Daten sowie das Erheben von Istzuständen bieten die Grundlage für die Anstellung weiterer Überlegungen hinsichtlich Verbesserungsmaßnahmen im Bereich der Chancengleichheit in den Abteilungen. </w:t>
      </w:r>
    </w:p>
    <w:p w:rsidR="007019E1" w:rsidRPr="00DF43F1" w:rsidRDefault="00A078B2" w:rsidP="00296FC3">
      <w:pPr>
        <w:numPr>
          <w:ilvl w:val="0"/>
          <w:numId w:val="3"/>
        </w:numPr>
        <w:jc w:val="both"/>
        <w:rPr>
          <w:rFonts w:cs="Tahoma"/>
          <w:sz w:val="24"/>
          <w:szCs w:val="24"/>
        </w:rPr>
      </w:pPr>
      <w:r>
        <w:rPr>
          <w:rFonts w:cs="Tahoma"/>
          <w:sz w:val="24"/>
          <w:szCs w:val="24"/>
        </w:rPr>
        <w:t xml:space="preserve">Es wurden in diesem Jahr </w:t>
      </w:r>
      <w:r w:rsidR="007019E1" w:rsidRPr="00DF43F1">
        <w:rPr>
          <w:rFonts w:cs="Tahoma"/>
          <w:sz w:val="24"/>
          <w:szCs w:val="24"/>
        </w:rPr>
        <w:t>mit Vertreter</w:t>
      </w:r>
      <w:r w:rsidR="002359B0" w:rsidRPr="00DF43F1">
        <w:rPr>
          <w:rFonts w:cs="Tahoma"/>
          <w:sz w:val="24"/>
          <w:szCs w:val="24"/>
        </w:rPr>
        <w:t>Innen</w:t>
      </w:r>
      <w:r w:rsidR="007019E1" w:rsidRPr="00DF43F1">
        <w:rPr>
          <w:rFonts w:cs="Tahoma"/>
          <w:sz w:val="24"/>
          <w:szCs w:val="24"/>
        </w:rPr>
        <w:t xml:space="preserve"> ausgewählter Bereiche der Landesverwaltung Einzelgespräche </w:t>
      </w:r>
      <w:r w:rsidR="005B6817" w:rsidRPr="00DF43F1">
        <w:rPr>
          <w:rFonts w:cs="Tahoma"/>
          <w:sz w:val="24"/>
          <w:szCs w:val="24"/>
        </w:rPr>
        <w:t xml:space="preserve">geführt, </w:t>
      </w:r>
      <w:r w:rsidR="007019E1" w:rsidRPr="00DF43F1">
        <w:rPr>
          <w:rFonts w:cs="Tahoma"/>
          <w:sz w:val="24"/>
          <w:szCs w:val="24"/>
        </w:rPr>
        <w:t xml:space="preserve">um die Genderrelevanz der einzelnen Bereiche </w:t>
      </w:r>
      <w:proofErr w:type="gramStart"/>
      <w:r w:rsidR="007019E1" w:rsidRPr="00DF43F1">
        <w:rPr>
          <w:rFonts w:cs="Tahoma"/>
          <w:sz w:val="24"/>
          <w:szCs w:val="24"/>
        </w:rPr>
        <w:t>herauszuarbeiten</w:t>
      </w:r>
      <w:r w:rsidR="005B6817" w:rsidRPr="00DF43F1">
        <w:rPr>
          <w:rFonts w:cs="Tahoma"/>
          <w:sz w:val="24"/>
          <w:szCs w:val="24"/>
        </w:rPr>
        <w:t xml:space="preserve">  und</w:t>
      </w:r>
      <w:proofErr w:type="gramEnd"/>
      <w:r w:rsidR="005B6817" w:rsidRPr="00DF43F1">
        <w:rPr>
          <w:rFonts w:cs="Tahoma"/>
          <w:sz w:val="24"/>
          <w:szCs w:val="24"/>
        </w:rPr>
        <w:t xml:space="preserve"> konkrete Zielvereinbarungen für Gender Budgeting zu erarbeiten</w:t>
      </w:r>
      <w:r w:rsidR="007019E1" w:rsidRPr="00DF43F1">
        <w:rPr>
          <w:rFonts w:cs="Tahoma"/>
          <w:sz w:val="24"/>
          <w:szCs w:val="24"/>
        </w:rPr>
        <w:t>. Diese Gespräche stellen die Basis für die Erstellung der Berichte dar.</w:t>
      </w:r>
    </w:p>
    <w:p w:rsidR="00D006EF" w:rsidRPr="00DF43F1" w:rsidRDefault="00D006EF" w:rsidP="00296FC3">
      <w:pPr>
        <w:numPr>
          <w:ilvl w:val="0"/>
          <w:numId w:val="3"/>
        </w:numPr>
        <w:jc w:val="both"/>
        <w:rPr>
          <w:rFonts w:cs="Tahoma"/>
          <w:sz w:val="24"/>
          <w:szCs w:val="24"/>
        </w:rPr>
      </w:pPr>
      <w:r w:rsidRPr="00DF43F1">
        <w:rPr>
          <w:rFonts w:cs="Tahoma"/>
          <w:sz w:val="24"/>
          <w:szCs w:val="24"/>
        </w:rPr>
        <w:t>1</w:t>
      </w:r>
      <w:r w:rsidR="00D741A5" w:rsidRPr="00DF43F1">
        <w:rPr>
          <w:rFonts w:cs="Tahoma"/>
          <w:sz w:val="24"/>
          <w:szCs w:val="24"/>
        </w:rPr>
        <w:t>6</w:t>
      </w:r>
      <w:r w:rsidR="007019E1" w:rsidRPr="00DF43F1">
        <w:rPr>
          <w:rFonts w:cs="Tahoma"/>
          <w:sz w:val="24"/>
          <w:szCs w:val="24"/>
        </w:rPr>
        <w:t xml:space="preserve"> Abteilungen, Fachbereiche und Amtsstellen </w:t>
      </w:r>
      <w:r w:rsidR="001D7217">
        <w:rPr>
          <w:rFonts w:cs="Tahoma"/>
          <w:sz w:val="24"/>
          <w:szCs w:val="24"/>
        </w:rPr>
        <w:t>werden</w:t>
      </w:r>
      <w:r w:rsidRPr="00DF43F1">
        <w:rPr>
          <w:rFonts w:cs="Tahoma"/>
          <w:sz w:val="24"/>
          <w:szCs w:val="24"/>
        </w:rPr>
        <w:t xml:space="preserve"> aufgefordert </w:t>
      </w:r>
      <w:r w:rsidR="007019E1" w:rsidRPr="00DF43F1">
        <w:rPr>
          <w:rFonts w:cs="Tahoma"/>
          <w:sz w:val="24"/>
          <w:szCs w:val="24"/>
        </w:rPr>
        <w:t xml:space="preserve">genderrelevante Maßnahmen </w:t>
      </w:r>
      <w:r w:rsidRPr="00DF43F1">
        <w:rPr>
          <w:rFonts w:cs="Tahoma"/>
          <w:sz w:val="24"/>
          <w:szCs w:val="24"/>
        </w:rPr>
        <w:t>aus</w:t>
      </w:r>
      <w:r w:rsidR="007019E1" w:rsidRPr="00DF43F1">
        <w:rPr>
          <w:rFonts w:cs="Tahoma"/>
          <w:sz w:val="24"/>
          <w:szCs w:val="24"/>
        </w:rPr>
        <w:t xml:space="preserve"> deren </w:t>
      </w:r>
      <w:r w:rsidR="00D8027C" w:rsidRPr="00DF43F1">
        <w:rPr>
          <w:rFonts w:cs="Tahoma"/>
          <w:sz w:val="24"/>
          <w:szCs w:val="24"/>
        </w:rPr>
        <w:t xml:space="preserve">Arbeitsbereichen </w:t>
      </w:r>
      <w:r w:rsidRPr="00DF43F1">
        <w:rPr>
          <w:rFonts w:cs="Tahoma"/>
          <w:sz w:val="24"/>
          <w:szCs w:val="24"/>
        </w:rPr>
        <w:t>in die VBK</w:t>
      </w:r>
      <w:r w:rsidR="00510382" w:rsidRPr="00DF43F1">
        <w:rPr>
          <w:rFonts w:cs="Tahoma"/>
          <w:sz w:val="24"/>
          <w:szCs w:val="24"/>
        </w:rPr>
        <w:t>.net</w:t>
      </w:r>
      <w:r w:rsidR="00801E94" w:rsidRPr="00DF43F1">
        <w:rPr>
          <w:rFonts w:cs="Tahoma"/>
          <w:sz w:val="24"/>
          <w:szCs w:val="24"/>
        </w:rPr>
        <w:t xml:space="preserve"> (Voranschlag-Buchhaltung-Kostenrechnung)</w:t>
      </w:r>
      <w:r w:rsidRPr="00DF43F1">
        <w:rPr>
          <w:rFonts w:cs="Tahoma"/>
          <w:sz w:val="24"/>
          <w:szCs w:val="24"/>
        </w:rPr>
        <w:t xml:space="preserve"> einzutragen</w:t>
      </w:r>
      <w:r w:rsidR="007019E1" w:rsidRPr="00DF43F1">
        <w:rPr>
          <w:rFonts w:cs="Tahoma"/>
          <w:sz w:val="24"/>
          <w:szCs w:val="24"/>
        </w:rPr>
        <w:t xml:space="preserve">. </w:t>
      </w:r>
      <w:r w:rsidR="00E75ED5" w:rsidRPr="00DF43F1">
        <w:rPr>
          <w:rFonts w:cs="Tahoma"/>
          <w:sz w:val="24"/>
          <w:szCs w:val="24"/>
        </w:rPr>
        <w:t xml:space="preserve">Von großer Bedeutung für den Bericht sind die Rückmeldungen aus den Bereichen Personal und den </w:t>
      </w:r>
      <w:r w:rsidR="001D7217">
        <w:rPr>
          <w:rFonts w:cs="Tahoma"/>
          <w:sz w:val="24"/>
          <w:szCs w:val="24"/>
        </w:rPr>
        <w:t xml:space="preserve">verschiedenen </w:t>
      </w:r>
      <w:r w:rsidR="00E75ED5" w:rsidRPr="00DF43F1">
        <w:rPr>
          <w:rFonts w:cs="Tahoma"/>
          <w:sz w:val="24"/>
          <w:szCs w:val="24"/>
        </w:rPr>
        <w:t>Förderbereichen.</w:t>
      </w:r>
    </w:p>
    <w:p w:rsidR="007019E1" w:rsidRPr="00DF43F1" w:rsidRDefault="007019E1" w:rsidP="00296FC3">
      <w:pPr>
        <w:numPr>
          <w:ilvl w:val="0"/>
          <w:numId w:val="3"/>
        </w:numPr>
        <w:jc w:val="both"/>
        <w:rPr>
          <w:rFonts w:cs="Tahoma"/>
          <w:sz w:val="24"/>
          <w:szCs w:val="24"/>
        </w:rPr>
      </w:pPr>
      <w:r w:rsidRPr="00DF43F1">
        <w:rPr>
          <w:rFonts w:cs="Tahoma"/>
          <w:sz w:val="24"/>
          <w:szCs w:val="24"/>
        </w:rPr>
        <w:t xml:space="preserve">Grundsätzlich gilt, dass </w:t>
      </w:r>
      <w:r w:rsidR="00D8027C" w:rsidRPr="00DF43F1">
        <w:rPr>
          <w:rFonts w:cs="Tahoma"/>
          <w:sz w:val="24"/>
          <w:szCs w:val="24"/>
        </w:rPr>
        <w:t xml:space="preserve">die </w:t>
      </w:r>
      <w:proofErr w:type="gramStart"/>
      <w:r w:rsidR="00D8027C" w:rsidRPr="00DF43F1">
        <w:rPr>
          <w:rFonts w:cs="Tahoma"/>
          <w:sz w:val="24"/>
          <w:szCs w:val="24"/>
        </w:rPr>
        <w:t xml:space="preserve">Gleichstellungspolitik </w:t>
      </w:r>
      <w:r w:rsidRPr="00DF43F1">
        <w:rPr>
          <w:rFonts w:cs="Tahoma"/>
          <w:sz w:val="24"/>
          <w:szCs w:val="24"/>
        </w:rPr>
        <w:t xml:space="preserve"> die</w:t>
      </w:r>
      <w:proofErr w:type="gramEnd"/>
      <w:r w:rsidRPr="00DF43F1">
        <w:rPr>
          <w:rFonts w:cs="Tahoma"/>
          <w:sz w:val="24"/>
          <w:szCs w:val="24"/>
        </w:rPr>
        <w:t xml:space="preserve"> gesellschaftliche Entwicklung beeinflusst und Wirkungen erzeugt. </w:t>
      </w:r>
      <w:r w:rsidR="002359B0" w:rsidRPr="00DF43F1">
        <w:rPr>
          <w:rFonts w:cs="Tahoma"/>
          <w:sz w:val="24"/>
          <w:szCs w:val="24"/>
        </w:rPr>
        <w:t xml:space="preserve">Mit Zahlen und Summen kann dies nicht dargestellt werden, </w:t>
      </w:r>
      <w:r w:rsidR="00DC5521" w:rsidRPr="00DF43F1">
        <w:rPr>
          <w:rFonts w:cs="Tahoma"/>
          <w:sz w:val="24"/>
          <w:szCs w:val="24"/>
        </w:rPr>
        <w:t>denn eine Maßnahme (z.</w:t>
      </w:r>
      <w:r w:rsidRPr="00DF43F1">
        <w:rPr>
          <w:rFonts w:cs="Tahoma"/>
          <w:sz w:val="24"/>
          <w:szCs w:val="24"/>
        </w:rPr>
        <w:t xml:space="preserve">B. zusätzliche Kinderbetreuung) wirkt interdependent und kann weder in der Gesamtsumme noch anteilsmäßig einem einzigen Ziel zugeordnet werden. </w:t>
      </w:r>
      <w:r w:rsidR="00D8027C" w:rsidRPr="00DF43F1">
        <w:rPr>
          <w:rFonts w:cs="Tahoma"/>
          <w:sz w:val="24"/>
          <w:szCs w:val="24"/>
        </w:rPr>
        <w:t xml:space="preserve">Gleichstellung </w:t>
      </w:r>
      <w:r w:rsidRPr="00DF43F1">
        <w:rPr>
          <w:rFonts w:cs="Tahoma"/>
          <w:sz w:val="24"/>
          <w:szCs w:val="24"/>
        </w:rPr>
        <w:t xml:space="preserve">ist eine Querschnittmaterie. </w:t>
      </w:r>
    </w:p>
    <w:p w:rsidR="007019E1" w:rsidRPr="00DF43F1" w:rsidRDefault="007019E1" w:rsidP="00296FC3">
      <w:pPr>
        <w:numPr>
          <w:ilvl w:val="0"/>
          <w:numId w:val="3"/>
        </w:numPr>
        <w:jc w:val="both"/>
        <w:rPr>
          <w:rFonts w:cs="Tahoma"/>
          <w:sz w:val="24"/>
          <w:szCs w:val="24"/>
        </w:rPr>
      </w:pPr>
      <w:r w:rsidRPr="00DF43F1">
        <w:rPr>
          <w:rFonts w:cs="Tahoma"/>
          <w:sz w:val="24"/>
          <w:szCs w:val="24"/>
        </w:rPr>
        <w:t xml:space="preserve">Einige Abteilungen </w:t>
      </w:r>
      <w:r w:rsidR="008261C2" w:rsidRPr="00DF43F1">
        <w:rPr>
          <w:rFonts w:cs="Tahoma"/>
          <w:sz w:val="24"/>
          <w:szCs w:val="24"/>
        </w:rPr>
        <w:t>versuchen</w:t>
      </w:r>
      <w:r w:rsidRPr="00DF43F1">
        <w:rPr>
          <w:rFonts w:cs="Tahoma"/>
          <w:sz w:val="24"/>
          <w:szCs w:val="24"/>
        </w:rPr>
        <w:t>, die Höhe der für „G</w:t>
      </w:r>
      <w:r w:rsidR="00D8027C" w:rsidRPr="00DF43F1">
        <w:rPr>
          <w:rFonts w:cs="Tahoma"/>
          <w:sz w:val="24"/>
          <w:szCs w:val="24"/>
        </w:rPr>
        <w:t>leichstellungs</w:t>
      </w:r>
      <w:r w:rsidRPr="00DF43F1">
        <w:rPr>
          <w:rFonts w:cs="Tahoma"/>
          <w:sz w:val="24"/>
          <w:szCs w:val="24"/>
        </w:rPr>
        <w:t xml:space="preserve">maßnahmen“ im Budget veranschlagten Mittel </w:t>
      </w:r>
      <w:r w:rsidR="008261C2" w:rsidRPr="00DF43F1">
        <w:rPr>
          <w:rFonts w:cs="Tahoma"/>
          <w:sz w:val="24"/>
          <w:szCs w:val="24"/>
        </w:rPr>
        <w:t>anzugeben</w:t>
      </w:r>
      <w:r w:rsidRPr="00DF43F1">
        <w:rPr>
          <w:rFonts w:cs="Tahoma"/>
          <w:sz w:val="24"/>
          <w:szCs w:val="24"/>
        </w:rPr>
        <w:t>. Wie schwierig dies ist, zeigt sich daran, dass manche Abteilungen die Summe der Voranschlagsstelle angaben, andere versuchten, den „</w:t>
      </w:r>
      <w:r w:rsidR="00D8027C" w:rsidRPr="00DF43F1">
        <w:rPr>
          <w:rFonts w:cs="Tahoma"/>
          <w:sz w:val="24"/>
          <w:szCs w:val="24"/>
        </w:rPr>
        <w:t>Gleichstellungsanteil</w:t>
      </w:r>
      <w:r w:rsidRPr="00DF43F1">
        <w:rPr>
          <w:rFonts w:cs="Tahoma"/>
          <w:sz w:val="24"/>
          <w:szCs w:val="24"/>
        </w:rPr>
        <w:t>“ herauszurechnen, wiederum andere gaben den für Frauenförderung geschätzten Anteil an.</w:t>
      </w:r>
    </w:p>
    <w:p w:rsidR="00E46511" w:rsidRPr="00DF43F1" w:rsidRDefault="00E46511" w:rsidP="00296FC3">
      <w:pPr>
        <w:ind w:left="720"/>
        <w:jc w:val="both"/>
        <w:rPr>
          <w:rFonts w:cs="Tahoma"/>
          <w:b/>
          <w:color w:val="3FADFF"/>
          <w:sz w:val="24"/>
          <w:szCs w:val="24"/>
          <w:u w:val="single"/>
        </w:rPr>
      </w:pPr>
    </w:p>
    <w:p w:rsidR="007019E1" w:rsidRPr="00DF43F1" w:rsidRDefault="007019E1" w:rsidP="00296FC3">
      <w:pPr>
        <w:pStyle w:val="berschrift2"/>
        <w:spacing w:before="0"/>
        <w:rPr>
          <w:sz w:val="24"/>
          <w:szCs w:val="24"/>
        </w:rPr>
      </w:pPr>
      <w:r w:rsidRPr="00DF43F1">
        <w:rPr>
          <w:sz w:val="24"/>
          <w:szCs w:val="24"/>
        </w:rPr>
        <w:t>Positive Effekte von Gender Budgeting</w:t>
      </w:r>
    </w:p>
    <w:p w:rsidR="007019E1" w:rsidRPr="00DF43F1" w:rsidRDefault="007019E1" w:rsidP="00296FC3">
      <w:pPr>
        <w:jc w:val="both"/>
        <w:rPr>
          <w:rFonts w:cs="Tahoma"/>
          <w:sz w:val="24"/>
          <w:szCs w:val="24"/>
          <w:lang w:eastAsia="de-DE"/>
        </w:rPr>
      </w:pPr>
      <w:r w:rsidRPr="00DF43F1">
        <w:rPr>
          <w:rFonts w:cs="Tahoma"/>
          <w:sz w:val="24"/>
          <w:szCs w:val="24"/>
          <w:lang w:eastAsia="de-DE"/>
        </w:rPr>
        <w:t>Folgende positive Effekte der Umsetzung von Gender Budgeting können genannt werden:</w:t>
      </w:r>
    </w:p>
    <w:p w:rsidR="007019E1" w:rsidRPr="00DF43F1" w:rsidRDefault="007019E1" w:rsidP="00296FC3">
      <w:pPr>
        <w:numPr>
          <w:ilvl w:val="0"/>
          <w:numId w:val="5"/>
        </w:numPr>
        <w:jc w:val="both"/>
        <w:rPr>
          <w:rFonts w:cs="Tahoma"/>
          <w:sz w:val="24"/>
          <w:szCs w:val="24"/>
          <w:lang w:eastAsia="de-DE"/>
        </w:rPr>
      </w:pPr>
      <w:r w:rsidRPr="00DF43F1">
        <w:rPr>
          <w:rFonts w:cs="Tahoma"/>
          <w:sz w:val="24"/>
          <w:szCs w:val="24"/>
          <w:lang w:eastAsia="de-DE"/>
        </w:rPr>
        <w:t>Geschlechterspezifische Nutzen-Analysen werden durchgeführt.</w:t>
      </w:r>
    </w:p>
    <w:p w:rsidR="007019E1" w:rsidRPr="00DF43F1" w:rsidRDefault="003D0FE9" w:rsidP="00A83173">
      <w:pPr>
        <w:numPr>
          <w:ilvl w:val="0"/>
          <w:numId w:val="5"/>
        </w:numPr>
        <w:jc w:val="both"/>
        <w:rPr>
          <w:rFonts w:cs="Tahoma"/>
          <w:sz w:val="24"/>
          <w:szCs w:val="24"/>
          <w:lang w:eastAsia="de-DE"/>
        </w:rPr>
      </w:pPr>
      <w:r>
        <w:rPr>
          <w:rFonts w:cs="Tahoma"/>
          <w:sz w:val="24"/>
          <w:szCs w:val="24"/>
          <w:lang w:eastAsia="de-DE"/>
        </w:rPr>
        <w:t>E</w:t>
      </w:r>
      <w:r w:rsidR="007019E1" w:rsidRPr="00DF43F1">
        <w:rPr>
          <w:rFonts w:cs="Tahoma"/>
          <w:sz w:val="24"/>
          <w:szCs w:val="24"/>
          <w:lang w:eastAsia="de-DE"/>
        </w:rPr>
        <w:t xml:space="preserve">in durchgehender Denkprozess </w:t>
      </w:r>
      <w:r>
        <w:rPr>
          <w:rFonts w:cs="Tahoma"/>
          <w:sz w:val="24"/>
          <w:szCs w:val="24"/>
          <w:lang w:eastAsia="de-DE"/>
        </w:rPr>
        <w:t xml:space="preserve">wurde </w:t>
      </w:r>
      <w:r w:rsidR="007019E1" w:rsidRPr="00DF43F1">
        <w:rPr>
          <w:rFonts w:cs="Tahoma"/>
          <w:sz w:val="24"/>
          <w:szCs w:val="24"/>
          <w:lang w:eastAsia="de-DE"/>
        </w:rPr>
        <w:t>in Gang gesetzt.</w:t>
      </w:r>
      <w:r w:rsidR="00A83173" w:rsidRPr="00DF43F1">
        <w:rPr>
          <w:rFonts w:cs="Tahoma"/>
          <w:sz w:val="24"/>
          <w:szCs w:val="24"/>
          <w:lang w:eastAsia="de-DE"/>
        </w:rPr>
        <w:t xml:space="preserve"> Zusatznutzen für interne Steuerung wird erkannt.</w:t>
      </w:r>
    </w:p>
    <w:p w:rsidR="007019E1" w:rsidRPr="00DF43F1" w:rsidRDefault="007019E1" w:rsidP="00296FC3">
      <w:pPr>
        <w:numPr>
          <w:ilvl w:val="0"/>
          <w:numId w:val="5"/>
        </w:numPr>
        <w:jc w:val="both"/>
        <w:rPr>
          <w:rFonts w:cs="Tahoma"/>
          <w:sz w:val="24"/>
          <w:szCs w:val="24"/>
          <w:lang w:eastAsia="de-DE"/>
        </w:rPr>
      </w:pPr>
      <w:r w:rsidRPr="00DF43F1">
        <w:rPr>
          <w:rFonts w:cs="Tahoma"/>
          <w:sz w:val="24"/>
          <w:szCs w:val="24"/>
          <w:lang w:eastAsia="de-DE"/>
        </w:rPr>
        <w:t xml:space="preserve">Es gibt eine höhere Akzeptanz von bestehenden </w:t>
      </w:r>
      <w:r w:rsidR="00D8027C" w:rsidRPr="00DF43F1">
        <w:rPr>
          <w:rFonts w:cs="Tahoma"/>
          <w:sz w:val="24"/>
          <w:szCs w:val="24"/>
          <w:lang w:eastAsia="de-DE"/>
        </w:rPr>
        <w:t>Gleichstellungsi</w:t>
      </w:r>
      <w:r w:rsidRPr="00DF43F1">
        <w:rPr>
          <w:rFonts w:cs="Tahoma"/>
          <w:sz w:val="24"/>
          <w:szCs w:val="24"/>
          <w:lang w:eastAsia="de-DE"/>
        </w:rPr>
        <w:t xml:space="preserve">nitiativen und </w:t>
      </w:r>
      <w:r w:rsidR="00F6697C" w:rsidRPr="00DF43F1">
        <w:rPr>
          <w:rFonts w:cs="Tahoma"/>
          <w:sz w:val="24"/>
          <w:szCs w:val="24"/>
          <w:lang w:eastAsia="de-DE"/>
        </w:rPr>
        <w:t>-</w:t>
      </w:r>
      <w:r w:rsidR="00D8027C" w:rsidRPr="00DF43F1">
        <w:rPr>
          <w:rFonts w:cs="Tahoma"/>
          <w:sz w:val="24"/>
          <w:szCs w:val="24"/>
          <w:lang w:eastAsia="de-DE"/>
        </w:rPr>
        <w:t>p</w:t>
      </w:r>
      <w:r w:rsidRPr="00DF43F1">
        <w:rPr>
          <w:rFonts w:cs="Tahoma"/>
          <w:sz w:val="24"/>
          <w:szCs w:val="24"/>
          <w:lang w:eastAsia="de-DE"/>
        </w:rPr>
        <w:t xml:space="preserve">rojekten. </w:t>
      </w:r>
    </w:p>
    <w:p w:rsidR="007019E1" w:rsidRPr="00DF43F1" w:rsidRDefault="007019E1" w:rsidP="00296FC3">
      <w:pPr>
        <w:numPr>
          <w:ilvl w:val="0"/>
          <w:numId w:val="5"/>
        </w:numPr>
        <w:jc w:val="both"/>
        <w:rPr>
          <w:rFonts w:cs="Tahoma"/>
          <w:sz w:val="24"/>
          <w:szCs w:val="24"/>
          <w:lang w:eastAsia="de-DE"/>
        </w:rPr>
      </w:pPr>
      <w:r w:rsidRPr="00DF43F1">
        <w:rPr>
          <w:rFonts w:cs="Tahoma"/>
          <w:sz w:val="24"/>
          <w:szCs w:val="24"/>
          <w:lang w:eastAsia="de-DE"/>
        </w:rPr>
        <w:t xml:space="preserve">Aufbau von </w:t>
      </w:r>
      <w:r w:rsidR="00D8027C" w:rsidRPr="00DF43F1">
        <w:rPr>
          <w:rFonts w:cs="Tahoma"/>
          <w:sz w:val="24"/>
          <w:szCs w:val="24"/>
          <w:lang w:eastAsia="de-DE"/>
        </w:rPr>
        <w:t xml:space="preserve">Gleichstellungskompetenz </w:t>
      </w:r>
      <w:r w:rsidRPr="00DF43F1">
        <w:rPr>
          <w:rFonts w:cs="Tahoma"/>
          <w:sz w:val="24"/>
          <w:szCs w:val="24"/>
          <w:lang w:eastAsia="de-DE"/>
        </w:rPr>
        <w:t>bei den Akteurinnen und Akteuren.</w:t>
      </w:r>
    </w:p>
    <w:p w:rsidR="00D741A5" w:rsidRPr="00DF43F1" w:rsidRDefault="00D741A5" w:rsidP="00D741A5">
      <w:pPr>
        <w:numPr>
          <w:ilvl w:val="0"/>
          <w:numId w:val="5"/>
        </w:numPr>
        <w:jc w:val="both"/>
        <w:rPr>
          <w:rFonts w:cs="Tahoma"/>
          <w:sz w:val="24"/>
          <w:szCs w:val="24"/>
        </w:rPr>
      </w:pPr>
      <w:r w:rsidRPr="00DF43F1">
        <w:rPr>
          <w:rFonts w:cs="Tahoma"/>
          <w:sz w:val="24"/>
          <w:szCs w:val="24"/>
        </w:rPr>
        <w:t xml:space="preserve">Informations- und Sensibilisierungsmaßnahmen werden angeboten. </w:t>
      </w:r>
    </w:p>
    <w:p w:rsidR="00E46511" w:rsidRPr="00DF43F1" w:rsidRDefault="00E46511" w:rsidP="00296FC3">
      <w:pPr>
        <w:rPr>
          <w:rFonts w:cs="Tahoma"/>
          <w:sz w:val="24"/>
          <w:szCs w:val="24"/>
          <w:lang w:eastAsia="de-DE"/>
        </w:rPr>
      </w:pPr>
    </w:p>
    <w:p w:rsidR="007019E1" w:rsidRPr="00DF43F1" w:rsidRDefault="007019E1" w:rsidP="00296FC3">
      <w:pPr>
        <w:pStyle w:val="berschrift2"/>
        <w:spacing w:before="0"/>
        <w:rPr>
          <w:sz w:val="24"/>
          <w:szCs w:val="24"/>
        </w:rPr>
      </w:pPr>
      <w:r w:rsidRPr="00DF43F1">
        <w:rPr>
          <w:sz w:val="24"/>
          <w:szCs w:val="24"/>
        </w:rPr>
        <w:t>Rückmeldungen einiger ausgewählter Abteilungen</w:t>
      </w:r>
    </w:p>
    <w:p w:rsidR="001A6A5B" w:rsidRDefault="007019E1" w:rsidP="00296FC3">
      <w:pPr>
        <w:jc w:val="both"/>
        <w:rPr>
          <w:rFonts w:cs="Tahoma"/>
          <w:sz w:val="24"/>
          <w:szCs w:val="24"/>
        </w:rPr>
      </w:pPr>
      <w:r w:rsidRPr="00DF43F1">
        <w:rPr>
          <w:rFonts w:cs="Tahoma"/>
          <w:sz w:val="24"/>
          <w:szCs w:val="24"/>
        </w:rPr>
        <w:t>Nachfolgend werden exemplarisch einige Beispiele von Rückmeldungen aus den Abteilungen dargestellt. Die Rückmeldungen aus den Abteilungen waren sehr unterschiedlich. Der Homogenität und Vergleichbarkeit der Rückmeldungen wird künftig starkes Augenmerk zukommen. Die Abteilungen erhielten als Grundlage eine Tabelle mit einigen Beispielen für Gender Budgeting, di</w:t>
      </w:r>
      <w:r w:rsidR="00F01C0D" w:rsidRPr="00DF43F1">
        <w:rPr>
          <w:rFonts w:cs="Tahoma"/>
          <w:sz w:val="24"/>
          <w:szCs w:val="24"/>
        </w:rPr>
        <w:t>e folgendermaßen aufgebaut ist:</w:t>
      </w:r>
    </w:p>
    <w:p w:rsidR="00344D06" w:rsidRPr="00DF43F1" w:rsidRDefault="00344D06" w:rsidP="00296FC3">
      <w:pPr>
        <w:jc w:val="both"/>
        <w:rPr>
          <w:rFonts w:cs="Tahoma"/>
          <w:sz w:val="24"/>
          <w:szCs w:val="24"/>
        </w:rPr>
      </w:pPr>
    </w:p>
    <w:p w:rsidR="007019E1" w:rsidRPr="00DF43F1" w:rsidRDefault="007019E1" w:rsidP="00296FC3">
      <w:pPr>
        <w:numPr>
          <w:ilvl w:val="0"/>
          <w:numId w:val="6"/>
        </w:numPr>
        <w:jc w:val="both"/>
        <w:rPr>
          <w:rFonts w:cs="Tahoma"/>
          <w:sz w:val="24"/>
          <w:szCs w:val="24"/>
        </w:rPr>
      </w:pPr>
      <w:r w:rsidRPr="00DF43F1">
        <w:rPr>
          <w:rFonts w:cs="Tahoma"/>
          <w:sz w:val="24"/>
          <w:szCs w:val="24"/>
        </w:rPr>
        <w:t>Angabe Bewirtschafter, Abteilung</w:t>
      </w:r>
    </w:p>
    <w:p w:rsidR="007019E1" w:rsidRPr="00DF43F1" w:rsidRDefault="007019E1" w:rsidP="00296FC3">
      <w:pPr>
        <w:numPr>
          <w:ilvl w:val="0"/>
          <w:numId w:val="6"/>
        </w:numPr>
        <w:jc w:val="both"/>
        <w:rPr>
          <w:rFonts w:cs="Tahoma"/>
          <w:sz w:val="24"/>
          <w:szCs w:val="24"/>
        </w:rPr>
      </w:pPr>
      <w:r w:rsidRPr="00DF43F1">
        <w:rPr>
          <w:rFonts w:cs="Tahoma"/>
          <w:sz w:val="24"/>
          <w:szCs w:val="24"/>
        </w:rPr>
        <w:t>Angabe Budgetansatz/Voranschlagsstelle/Budgetpost</w:t>
      </w:r>
    </w:p>
    <w:p w:rsidR="007019E1" w:rsidRPr="00DF43F1" w:rsidRDefault="00AB706B" w:rsidP="00296FC3">
      <w:pPr>
        <w:numPr>
          <w:ilvl w:val="0"/>
          <w:numId w:val="6"/>
        </w:numPr>
        <w:jc w:val="both"/>
        <w:rPr>
          <w:rFonts w:cs="Tahoma"/>
          <w:sz w:val="24"/>
          <w:szCs w:val="24"/>
        </w:rPr>
      </w:pPr>
      <w:r w:rsidRPr="00DF43F1">
        <w:rPr>
          <w:rFonts w:cs="Tahoma"/>
          <w:sz w:val="24"/>
          <w:szCs w:val="24"/>
        </w:rPr>
        <w:t xml:space="preserve">Bezeichnung </w:t>
      </w:r>
      <w:r w:rsidR="007019E1" w:rsidRPr="00DF43F1">
        <w:rPr>
          <w:rFonts w:cs="Tahoma"/>
          <w:sz w:val="24"/>
          <w:szCs w:val="24"/>
        </w:rPr>
        <w:t>der Voranschlagsstelle</w:t>
      </w:r>
    </w:p>
    <w:p w:rsidR="007019E1" w:rsidRPr="00DF43F1" w:rsidRDefault="007019E1" w:rsidP="00296FC3">
      <w:pPr>
        <w:numPr>
          <w:ilvl w:val="0"/>
          <w:numId w:val="6"/>
        </w:numPr>
        <w:jc w:val="both"/>
        <w:rPr>
          <w:rFonts w:cs="Tahoma"/>
          <w:sz w:val="24"/>
          <w:szCs w:val="24"/>
        </w:rPr>
      </w:pPr>
      <w:r w:rsidRPr="00DF43F1">
        <w:rPr>
          <w:rFonts w:cs="Tahoma"/>
          <w:sz w:val="24"/>
          <w:szCs w:val="24"/>
        </w:rPr>
        <w:t>Situation und daraus entstehende Fragen</w:t>
      </w:r>
    </w:p>
    <w:p w:rsidR="007019E1" w:rsidRPr="00DF43F1" w:rsidRDefault="007019E1" w:rsidP="00296FC3">
      <w:pPr>
        <w:numPr>
          <w:ilvl w:val="0"/>
          <w:numId w:val="6"/>
        </w:numPr>
        <w:jc w:val="both"/>
        <w:rPr>
          <w:rFonts w:cs="Tahoma"/>
          <w:sz w:val="24"/>
          <w:szCs w:val="24"/>
        </w:rPr>
      </w:pPr>
      <w:r w:rsidRPr="00DF43F1">
        <w:rPr>
          <w:rFonts w:cs="Tahoma"/>
          <w:sz w:val="24"/>
          <w:szCs w:val="24"/>
        </w:rPr>
        <w:t>Ziele/Maßnahmen</w:t>
      </w:r>
    </w:p>
    <w:p w:rsidR="007019E1" w:rsidRPr="00DF43F1" w:rsidRDefault="007019E1" w:rsidP="00296FC3">
      <w:pPr>
        <w:numPr>
          <w:ilvl w:val="0"/>
          <w:numId w:val="6"/>
        </w:numPr>
        <w:jc w:val="both"/>
        <w:rPr>
          <w:rFonts w:cs="Tahoma"/>
          <w:sz w:val="24"/>
          <w:szCs w:val="24"/>
        </w:rPr>
      </w:pPr>
      <w:r w:rsidRPr="00DF43F1">
        <w:rPr>
          <w:rFonts w:cs="Tahoma"/>
          <w:sz w:val="24"/>
          <w:szCs w:val="24"/>
        </w:rPr>
        <w:t xml:space="preserve">Geplante </w:t>
      </w:r>
      <w:r w:rsidR="005E0721">
        <w:rPr>
          <w:rFonts w:cs="Tahoma"/>
          <w:sz w:val="24"/>
          <w:szCs w:val="24"/>
        </w:rPr>
        <w:t>Aufwendungen</w:t>
      </w:r>
    </w:p>
    <w:p w:rsidR="000378BB" w:rsidRDefault="000378BB">
      <w:pPr>
        <w:rPr>
          <w:sz w:val="24"/>
          <w:szCs w:val="24"/>
        </w:rPr>
      </w:pPr>
      <w:r>
        <w:rPr>
          <w:sz w:val="24"/>
          <w:szCs w:val="24"/>
        </w:rPr>
        <w:br w:type="page"/>
      </w:r>
    </w:p>
    <w:p w:rsidR="00566CE0" w:rsidRDefault="00566CE0" w:rsidP="00566CE0">
      <w:pPr>
        <w:pStyle w:val="Textkrper"/>
        <w:pBdr>
          <w:bottom w:val="single" w:sz="4" w:space="1" w:color="auto"/>
        </w:pBdr>
        <w:rPr>
          <w:b/>
        </w:rPr>
      </w:pPr>
      <w:r>
        <w:rPr>
          <w:b/>
        </w:rPr>
        <w:t>Bewirtschafter/Abteilung: 0100 Abt. Regierungsdienste</w:t>
      </w:r>
      <w:r>
        <w:rPr>
          <w:b/>
        </w:rPr>
        <w:br/>
        <w:t>Voranschlagstelle: 1-012009-4130-009 Ehrenzeichen</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Es gibt Landesauszeichnungen und Sportehrenzeichen. Die Verteilung der Auszeichnungen auf Frauen und Männer hat sich gegenüber den Vorjahren erstmals verbessert.</w:t>
      </w:r>
    </w:p>
    <w:tbl>
      <w:tblPr>
        <w:tblStyle w:val="TableNormal"/>
        <w:tblW w:w="5000" w:type="pct"/>
        <w:tblInd w:w="0" w:type="dxa"/>
        <w:tblLook w:val="04A0" w:firstRow="1" w:lastRow="0" w:firstColumn="1" w:lastColumn="0" w:noHBand="0" w:noVBand="1"/>
      </w:tblPr>
      <w:tblGrid>
        <w:gridCol w:w="2963"/>
        <w:gridCol w:w="802"/>
        <w:gridCol w:w="803"/>
        <w:gridCol w:w="803"/>
        <w:gridCol w:w="803"/>
        <w:gridCol w:w="801"/>
        <w:gridCol w:w="803"/>
        <w:gridCol w:w="803"/>
        <w:gridCol w:w="803"/>
      </w:tblGrid>
      <w:tr w:rsidR="00566CE0" w:rsidTr="00480F52">
        <w:trPr>
          <w:trHeight w:val="429"/>
        </w:trPr>
        <w:tc>
          <w:tcPr>
            <w:tcW w:w="157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tcPr>
          <w:p w:rsidR="00566CE0" w:rsidRDefault="00566CE0">
            <w:pPr>
              <w:pStyle w:val="Textkrper"/>
              <w:jc w:val="both"/>
            </w:pP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2012</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2013</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2014</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2015</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2016</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2017</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2018</w:t>
            </w:r>
          </w:p>
        </w:tc>
        <w:tc>
          <w:tcPr>
            <w:tcW w:w="4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6CE0" w:rsidRDefault="00566CE0" w:rsidP="00480F52">
            <w:pPr>
              <w:pStyle w:val="Textkrper"/>
              <w:jc w:val="center"/>
              <w:rPr>
                <w:color w:val="000000"/>
              </w:rPr>
            </w:pPr>
            <w:r>
              <w:t>2019</w:t>
            </w:r>
          </w:p>
        </w:tc>
      </w:tr>
      <w:tr w:rsidR="00566CE0" w:rsidTr="00480F52">
        <w:trPr>
          <w:trHeight w:val="429"/>
        </w:trPr>
        <w:tc>
          <w:tcPr>
            <w:tcW w:w="157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hideMark/>
          </w:tcPr>
          <w:p w:rsidR="00566CE0" w:rsidRDefault="00566CE0">
            <w:pPr>
              <w:pStyle w:val="Textkrper"/>
              <w:jc w:val="both"/>
              <w:rPr>
                <w:color w:val="000000"/>
              </w:rPr>
            </w:pPr>
            <w:r>
              <w:t>Anzahl Landesauszeichnungen</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27</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31</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37</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34</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20</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24</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24</w:t>
            </w:r>
          </w:p>
        </w:tc>
        <w:tc>
          <w:tcPr>
            <w:tcW w:w="4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6CE0" w:rsidRDefault="00566CE0" w:rsidP="00480F52">
            <w:pPr>
              <w:pStyle w:val="Textkrper"/>
              <w:jc w:val="center"/>
              <w:rPr>
                <w:color w:val="000000"/>
              </w:rPr>
            </w:pPr>
            <w:r>
              <w:t>26</w:t>
            </w:r>
          </w:p>
        </w:tc>
      </w:tr>
      <w:tr w:rsidR="00566CE0" w:rsidTr="00480F52">
        <w:trPr>
          <w:trHeight w:val="429"/>
        </w:trPr>
        <w:tc>
          <w:tcPr>
            <w:tcW w:w="157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hideMark/>
          </w:tcPr>
          <w:p w:rsidR="00566CE0" w:rsidRDefault="00566CE0">
            <w:pPr>
              <w:pStyle w:val="Textkrper"/>
              <w:jc w:val="both"/>
              <w:rPr>
                <w:color w:val="000000"/>
              </w:rPr>
            </w:pPr>
            <w:r>
              <w:t>Anteil Frauen</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23%</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29%</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19%</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15%</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15%</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25%</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25%</w:t>
            </w:r>
          </w:p>
        </w:tc>
        <w:tc>
          <w:tcPr>
            <w:tcW w:w="4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6CE0" w:rsidRDefault="00566CE0" w:rsidP="00480F52">
            <w:pPr>
              <w:pStyle w:val="Textkrper"/>
              <w:jc w:val="center"/>
              <w:rPr>
                <w:color w:val="000000"/>
              </w:rPr>
            </w:pPr>
            <w:r>
              <w:t>38%</w:t>
            </w:r>
          </w:p>
        </w:tc>
      </w:tr>
      <w:tr w:rsidR="00566CE0" w:rsidTr="00480F52">
        <w:trPr>
          <w:trHeight w:val="429"/>
        </w:trPr>
        <w:tc>
          <w:tcPr>
            <w:tcW w:w="157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hideMark/>
          </w:tcPr>
          <w:p w:rsidR="00566CE0" w:rsidRDefault="00566CE0">
            <w:pPr>
              <w:pStyle w:val="Textkrper"/>
              <w:jc w:val="both"/>
              <w:rPr>
                <w:color w:val="000000"/>
              </w:rPr>
            </w:pPr>
            <w:r>
              <w:t>Anzahl Sportehrenzeichen</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9</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9</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19</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4</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0</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12</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12</w:t>
            </w:r>
          </w:p>
        </w:tc>
        <w:tc>
          <w:tcPr>
            <w:tcW w:w="4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6CE0" w:rsidRDefault="00566CE0" w:rsidP="00480F52">
            <w:pPr>
              <w:pStyle w:val="Textkrper"/>
              <w:jc w:val="center"/>
              <w:rPr>
                <w:color w:val="000000"/>
              </w:rPr>
            </w:pPr>
            <w:r>
              <w:t>4</w:t>
            </w:r>
          </w:p>
        </w:tc>
      </w:tr>
      <w:tr w:rsidR="00566CE0" w:rsidTr="00480F52">
        <w:trPr>
          <w:trHeight w:val="429"/>
        </w:trPr>
        <w:tc>
          <w:tcPr>
            <w:tcW w:w="157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hideMark/>
          </w:tcPr>
          <w:p w:rsidR="00566CE0" w:rsidRDefault="00566CE0">
            <w:pPr>
              <w:pStyle w:val="Textkrper"/>
              <w:jc w:val="both"/>
              <w:rPr>
                <w:color w:val="000000"/>
              </w:rPr>
            </w:pPr>
            <w:r>
              <w:t>Anteil Frauen</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56%</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22%</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16%</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0%</w:t>
            </w:r>
          </w:p>
        </w:tc>
        <w:tc>
          <w:tcPr>
            <w:tcW w:w="427"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0%</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25%</w:t>
            </w:r>
          </w:p>
        </w:tc>
        <w:tc>
          <w:tcPr>
            <w:tcW w:w="428" w:type="pct"/>
            <w:tcBorders>
              <w:top w:val="single" w:sz="8" w:space="0" w:color="000000"/>
              <w:left w:val="single" w:sz="8" w:space="0" w:color="000000"/>
              <w:bottom w:val="single" w:sz="8" w:space="0" w:color="000000"/>
              <w:right w:val="single" w:sz="8" w:space="0" w:color="000000"/>
            </w:tcBorders>
            <w:tcMar>
              <w:top w:w="0" w:type="dxa"/>
              <w:left w:w="105" w:type="dxa"/>
              <w:bottom w:w="0" w:type="dxa"/>
              <w:right w:w="105" w:type="dxa"/>
            </w:tcMar>
            <w:vAlign w:val="center"/>
            <w:hideMark/>
          </w:tcPr>
          <w:p w:rsidR="00566CE0" w:rsidRDefault="00566CE0" w:rsidP="00480F52">
            <w:pPr>
              <w:pStyle w:val="Textkrper"/>
              <w:jc w:val="center"/>
              <w:rPr>
                <w:color w:val="000000"/>
              </w:rPr>
            </w:pPr>
            <w:r>
              <w:t>25%</w:t>
            </w:r>
          </w:p>
        </w:tc>
        <w:tc>
          <w:tcPr>
            <w:tcW w:w="42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66CE0" w:rsidRDefault="00566CE0" w:rsidP="00480F52">
            <w:pPr>
              <w:pStyle w:val="Textkrper"/>
              <w:jc w:val="center"/>
              <w:rPr>
                <w:color w:val="000000"/>
              </w:rPr>
            </w:pPr>
            <w:r>
              <w:t>25%</w:t>
            </w:r>
          </w:p>
        </w:tc>
      </w:tr>
    </w:tbl>
    <w:p w:rsidR="00566CE0" w:rsidRDefault="00566CE0" w:rsidP="00566CE0">
      <w:pPr>
        <w:pStyle w:val="Textkrper"/>
        <w:jc w:val="both"/>
        <w:rPr>
          <w:rFonts w:ascii="Calibri" w:hAnsi="Calibri"/>
          <w:color w:val="000000"/>
          <w:u w:val="single"/>
        </w:rPr>
      </w:pPr>
      <w:r>
        <w:rPr>
          <w:u w:val="single"/>
        </w:rPr>
        <w:t>Maßnahmen/Ziele:</w:t>
      </w:r>
    </w:p>
    <w:p w:rsidR="00566CE0" w:rsidRDefault="003D0FE9" w:rsidP="00566CE0">
      <w:pPr>
        <w:pStyle w:val="Textkrper"/>
        <w:jc w:val="both"/>
      </w:pPr>
      <w:r>
        <w:t xml:space="preserve">Die </w:t>
      </w:r>
      <w:r w:rsidR="00566CE0">
        <w:t xml:space="preserve">Vorschlagenden </w:t>
      </w:r>
      <w:r>
        <w:t xml:space="preserve">sollen </w:t>
      </w:r>
      <w:r w:rsidR="00566CE0">
        <w:t xml:space="preserve">weiterhin dazu aktiviert werden, verstärkt Frauen für Ehrungen zu nominieren. </w:t>
      </w:r>
    </w:p>
    <w:p w:rsidR="00270D67" w:rsidRDefault="00270D67"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0112 Büro für Freiwilliges Engagement und Beteiligung</w:t>
      </w:r>
      <w:r>
        <w:rPr>
          <w:b/>
        </w:rPr>
        <w:br/>
        <w:t>Voranschlagstelle: 1-529205-7670-001 Beiträge zu Aktionen (Nachhaltige Entwicklung)</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 xml:space="preserve">Das Büro für Freiwilliges Engagement und Beteiligung unterstützt und begleitet engagierte Menschen und ermöglicht Beteiligung. Es fördert innovative Ansätze für eine Nachhaltige Entwicklung. Zu diesem Zweck werden Menschen dabei unterstützt, innovative Lösungen für aktuelle gesellschaftspolitische Herausforderungen zu finden und erfolgreich umzusetzen. </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rsidRPr="0015265A">
        <w:t>Kleinprojekte-Förderung</w:t>
      </w:r>
      <w:r>
        <w:rPr>
          <w:b/>
        </w:rPr>
        <w:t>:</w:t>
      </w:r>
      <w:r>
        <w:t xml:space="preserve"> Zielgruppe sind Vereine, Gruppen, Initiativen, deren Ziele und Zwecke auf Gemeinnützigkeit ausgerichtet sind. Gemeinden und Schulen sowie auch Privatpersonen</w:t>
      </w:r>
      <w:r w:rsidR="00C204DA">
        <w:t xml:space="preserve"> werden gefördert</w:t>
      </w:r>
      <w:r>
        <w:t xml:space="preserve">, sofern durch die geförderte Aktivität eine breite </w:t>
      </w:r>
      <w:r w:rsidR="00C204DA">
        <w:t>Gesellschaftss</w:t>
      </w:r>
      <w:r>
        <w:t>chicht eingebunden wird. Das unterstützte Projekt leistet einen erkennbaren Beitrag für eine Nachhaltige Entwicklung. Mindestens die Hälfte der Anträge werden von Frauen gestellt</w:t>
      </w:r>
      <w:r w:rsidR="00C204DA">
        <w:t xml:space="preserve">. </w:t>
      </w:r>
      <w:r>
        <w:t>Ziele, die die Gleichstellung von Männer</w:t>
      </w:r>
      <w:r w:rsidR="00C204DA">
        <w:t>n</w:t>
      </w:r>
      <w:r>
        <w:t xml:space="preserve"> und Frauen berücksichtigen</w:t>
      </w:r>
      <w:r w:rsidR="0015265A">
        <w:t>,</w:t>
      </w:r>
      <w:r>
        <w:t xml:space="preserve"> sind explizit erwünscht. </w:t>
      </w:r>
    </w:p>
    <w:p w:rsidR="00566CE0" w:rsidRDefault="00566CE0" w:rsidP="00566CE0">
      <w:pPr>
        <w:pStyle w:val="Textkrper"/>
        <w:jc w:val="both"/>
        <w:rPr>
          <w:color w:val="000000"/>
        </w:rPr>
      </w:pPr>
      <w:r>
        <w:rPr>
          <w:u w:val="single"/>
        </w:rPr>
        <w:t xml:space="preserve">Geplante Aufwendungen: </w:t>
      </w:r>
      <w:r>
        <w:t>€ 18.000,-</w:t>
      </w:r>
    </w:p>
    <w:p w:rsidR="00270D67" w:rsidRDefault="00270D67"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0112 Büro für Freiwilliges Engagement und Beteiligung</w:t>
      </w:r>
      <w:r>
        <w:rPr>
          <w:b/>
        </w:rPr>
        <w:br/>
        <w:t>Voranschlagstelle: 1-529205-7670-002 Beiträge z</w:t>
      </w:r>
      <w:r w:rsidR="000373B6">
        <w:rPr>
          <w:b/>
        </w:rPr>
        <w:t xml:space="preserve">u </w:t>
      </w:r>
      <w:r>
        <w:rPr>
          <w:b/>
        </w:rPr>
        <w:t>Aktionen(Ehrenamt-Bürgerschaftliches Engagement)</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 xml:space="preserve">Das </w:t>
      </w:r>
      <w:proofErr w:type="spellStart"/>
      <w:r>
        <w:t>Freiwillige</w:t>
      </w:r>
      <w:proofErr w:type="spellEnd"/>
      <w:r>
        <w:t xml:space="preserve"> Engagement in Vorarlberg hat einen positiven Einfluss auf die gesellschaftliche Entwicklung des Landes und die hohe Lebens- und Standortqualität, die unsere Region auszeichnet. Dabei nehmen Ehrenamtliche in allen relevanten Lebensbereichen unverzichtbare Aufgaben wahr. </w:t>
      </w:r>
    </w:p>
    <w:p w:rsidR="00566CE0" w:rsidRDefault="00566CE0" w:rsidP="00566CE0">
      <w:pPr>
        <w:pStyle w:val="Textkrper"/>
        <w:jc w:val="both"/>
        <w:rPr>
          <w:color w:val="000000"/>
          <w:u w:val="single" w:color="000000"/>
        </w:rPr>
      </w:pPr>
      <w:r>
        <w:t xml:space="preserve">Bei der Jugendförderung ist die geschlechtssensible Gestaltung von Projekten eine zentrale Förderbedingung. Sprachlich wird in allen Bereichen auf geschlechtsneutrale oder geschlechtssensible Sprache geachtet. </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Ziel ist die Stärkung von Frauen im Engagement-Bereich, u.a. durch angepasste Weiterbildungsangebote (Vorarlberg Akademie), Unterstützung bei Kompetenzerwerb, Förderung in den Bereichen Aus- und Weiterbildung und Prozessbegleitung.</w:t>
      </w:r>
    </w:p>
    <w:p w:rsidR="00566CE0" w:rsidRDefault="00566CE0" w:rsidP="00566CE0">
      <w:pPr>
        <w:pStyle w:val="Textkrper"/>
        <w:jc w:val="both"/>
        <w:rPr>
          <w:color w:val="000000"/>
        </w:rPr>
      </w:pPr>
      <w:r>
        <w:t>Männer und Frauen werden ermutigt in der Kinderbetreuung aktiv zu sein und darin unterstützt</w:t>
      </w:r>
      <w:r w:rsidR="00C204DA">
        <w:t>,</w:t>
      </w:r>
      <w:r>
        <w:t xml:space="preserve"> dies mit beruflichen Anforderung vereinbaren zu können. Alle Teammitglieder sind in Entscheidungspositionen und übernehmen Verantwortung.</w:t>
      </w:r>
    </w:p>
    <w:p w:rsidR="00566CE0" w:rsidRDefault="00566CE0" w:rsidP="00566CE0">
      <w:pPr>
        <w:pStyle w:val="Textkrper"/>
        <w:jc w:val="both"/>
        <w:rPr>
          <w:color w:val="000000"/>
        </w:rPr>
      </w:pPr>
      <w:r>
        <w:rPr>
          <w:u w:val="single"/>
        </w:rPr>
        <w:t>Geplante Aufwendungen:</w:t>
      </w:r>
      <w:r w:rsidRPr="00480F52">
        <w:t xml:space="preserve"> </w:t>
      </w:r>
      <w:r>
        <w:t xml:space="preserve">€ 61.000,- </w:t>
      </w:r>
    </w:p>
    <w:p w:rsidR="00566CE0" w:rsidRDefault="00566CE0" w:rsidP="00566CE0">
      <w:pPr>
        <w:pStyle w:val="Textkrper"/>
        <w:jc w:val="both"/>
      </w:pPr>
    </w:p>
    <w:p w:rsidR="00566CE0" w:rsidRDefault="00566CE0" w:rsidP="00566CE0">
      <w:pPr>
        <w:pStyle w:val="Textkrper"/>
        <w:jc w:val="both"/>
        <w:rPr>
          <w:color w:val="000000"/>
        </w:rPr>
      </w:pPr>
      <w:r>
        <w:rPr>
          <w:b/>
        </w:rPr>
        <w:t>Bewirtschafter/Abteilung: 0112 Büro für Freiwilliges Engagement und Beteiligung</w:t>
      </w:r>
      <w:r>
        <w:rPr>
          <w:b/>
        </w:rPr>
        <w:br/>
        <w:t>Voranschlagstelle: 1-529208-7280-001 Aufträge an Dritte für Nachhaltige Entwicklung</w:t>
      </w:r>
    </w:p>
    <w:p w:rsidR="00566CE0" w:rsidRDefault="00566CE0" w:rsidP="00566CE0">
      <w:pPr>
        <w:pStyle w:val="Textkrper"/>
        <w:jc w:val="both"/>
        <w:rPr>
          <w:color w:val="000000"/>
          <w:sz w:val="26"/>
        </w:rPr>
      </w:pPr>
      <w:r>
        <w:rPr>
          <w:u w:val="single"/>
        </w:rPr>
        <w:t>Situation und daraus entstehende Fragen:</w:t>
      </w:r>
    </w:p>
    <w:p w:rsidR="00566CE0" w:rsidRDefault="00566CE0" w:rsidP="00566CE0">
      <w:pPr>
        <w:pStyle w:val="Textkrper"/>
        <w:jc w:val="both"/>
        <w:rPr>
          <w:color w:val="000000"/>
          <w:sz w:val="26"/>
        </w:rPr>
      </w:pPr>
      <w:r>
        <w:t>Das Projekt „</w:t>
      </w:r>
      <w:proofErr w:type="spellStart"/>
      <w:r>
        <w:t>LandStadt</w:t>
      </w:r>
      <w:proofErr w:type="spellEnd"/>
      <w:r>
        <w:t xml:space="preserve"> Vorarlberg“ betrachtet das Dazwischen, das Vorarlberg ausmacht</w:t>
      </w:r>
      <w:r w:rsidR="00C204DA">
        <w:t xml:space="preserve"> -  z</w:t>
      </w:r>
      <w:r>
        <w:t xml:space="preserve">wischen Land und Stadt, Urbanität und Ruralem, Innovation und Tradition. Auch im Hinblick auf das Ziel der Marke Vorarlberg bis 2030 chancenreichster Lebensraum für Kinder zu werden liefert </w:t>
      </w:r>
      <w:proofErr w:type="spellStart"/>
      <w:r>
        <w:t>LandStadt</w:t>
      </w:r>
      <w:proofErr w:type="spellEnd"/>
      <w:r>
        <w:t xml:space="preserve"> Vorarlberg Hinweise zur entsprechenden Gestaltung des Lebensraums. Die Gleichstellung von Männern und Frauen im Hinblick auf die Aneignung des Lebensraums (Identität, Standort, Beruf, Bildung, Kinderbetreuung) und die Wahrung gleicher Chancen über Milieus und Klassen ist zentral. </w:t>
      </w:r>
    </w:p>
    <w:p w:rsidR="00566CE0" w:rsidRDefault="00566CE0" w:rsidP="00566CE0">
      <w:pPr>
        <w:pStyle w:val="Textkrper"/>
        <w:jc w:val="both"/>
        <w:rPr>
          <w:color w:val="000000"/>
          <w:sz w:val="26"/>
        </w:rPr>
      </w:pPr>
      <w:r>
        <w:rPr>
          <w:u w:val="single"/>
        </w:rPr>
        <w:t>Maßnahmen und Ziele</w:t>
      </w:r>
      <w:r>
        <w:t>:</w:t>
      </w:r>
    </w:p>
    <w:p w:rsidR="00566CE0" w:rsidRDefault="00566CE0" w:rsidP="00566CE0">
      <w:pPr>
        <w:pStyle w:val="Textkrper"/>
        <w:jc w:val="both"/>
        <w:rPr>
          <w:color w:val="000000"/>
          <w:sz w:val="26"/>
        </w:rPr>
      </w:pPr>
      <w:r>
        <w:t xml:space="preserve">Die Gleichstellung von Männern und Frauen im Hinblick auf die Aneignung des Lebensraums (Identität, Standort, Beruf, Bildung, Kinderbetreuung) und die Wahrung gleicher Chancen über Milieus und Klassen ist zentral. Bei der Auswahl von Referierenden wird auf ein ausgeglichenes Verhältnis von Männern und Frauen geachtet. In der Entwicklung von Szenarien für die </w:t>
      </w:r>
      <w:proofErr w:type="spellStart"/>
      <w:r>
        <w:t>LandStadt</w:t>
      </w:r>
      <w:proofErr w:type="spellEnd"/>
      <w:r>
        <w:t xml:space="preserve"> Vorarlberg ist die Kategorie der Geschlechterperspektive eine eigene Betrachtungskategorie.</w:t>
      </w:r>
    </w:p>
    <w:p w:rsidR="00566CE0" w:rsidRDefault="00566CE0" w:rsidP="00566CE0">
      <w:pPr>
        <w:pStyle w:val="Textkrper"/>
        <w:jc w:val="both"/>
        <w:rPr>
          <w:color w:val="000000"/>
          <w:sz w:val="26"/>
        </w:rPr>
      </w:pPr>
      <w:r>
        <w:rPr>
          <w:u w:val="single"/>
        </w:rPr>
        <w:t xml:space="preserve">Geplante Aufwendungen: </w:t>
      </w:r>
      <w:r>
        <w:t xml:space="preserve">€ 70.000,- </w:t>
      </w:r>
    </w:p>
    <w:p w:rsidR="00566CE0" w:rsidRDefault="00566CE0" w:rsidP="00566CE0">
      <w:pPr>
        <w:pStyle w:val="Textkrper"/>
        <w:jc w:val="both"/>
      </w:pPr>
    </w:p>
    <w:p w:rsidR="00566CE0" w:rsidRDefault="00566CE0" w:rsidP="00566CE0">
      <w:pPr>
        <w:pStyle w:val="Textkrper"/>
        <w:jc w:val="both"/>
        <w:rPr>
          <w:color w:val="000000"/>
          <w:sz w:val="26"/>
        </w:rPr>
      </w:pPr>
      <w:r>
        <w:rPr>
          <w:b/>
        </w:rPr>
        <w:t>Bewirtschafter/Abteilung: 0112 Büro für Freiwilliges Engagement und Beteiligung</w:t>
      </w:r>
      <w:r>
        <w:rPr>
          <w:b/>
        </w:rPr>
        <w:br/>
        <w:t>Voranschlagstelle: 1-529208-7280-002 Aufträge an Dritte f</w:t>
      </w:r>
      <w:r w:rsidR="000373B6">
        <w:rPr>
          <w:b/>
        </w:rPr>
        <w:t xml:space="preserve">ür </w:t>
      </w:r>
      <w:r>
        <w:rPr>
          <w:b/>
        </w:rPr>
        <w:t>Ehrenamt-Bürgerschaftliches Engagement</w:t>
      </w:r>
    </w:p>
    <w:p w:rsidR="00566CE0" w:rsidRDefault="00566CE0" w:rsidP="00566CE0">
      <w:pPr>
        <w:pStyle w:val="Textkrper"/>
        <w:jc w:val="both"/>
        <w:rPr>
          <w:color w:val="000000"/>
          <w:sz w:val="26"/>
          <w:u w:val="single" w:color="000000"/>
        </w:rPr>
      </w:pPr>
      <w:r>
        <w:rPr>
          <w:u w:val="single"/>
        </w:rPr>
        <w:t>Situation und daraus entstehende Fragen:</w:t>
      </w:r>
    </w:p>
    <w:p w:rsidR="00566CE0" w:rsidRDefault="00566CE0" w:rsidP="00566CE0">
      <w:pPr>
        <w:pStyle w:val="Textkrper"/>
        <w:jc w:val="both"/>
        <w:rPr>
          <w:color w:val="000000"/>
          <w:sz w:val="26"/>
        </w:rPr>
      </w:pPr>
      <w:r>
        <w:t>Das Büro für Freiwilliges Engagement und Beteiligung unterstützt Ehrenamtliche, Bürgerinnen und Bürger und Gemeinden mit vielfältigen Initiativen und Projekten. Dies beinhaltet die Förderung von freiwilligem Engagement, Bürgerinnen- und Bürgerbeteiligung, sowie die Beratung von partizipativen Prozessen auf unterschiedlichen Ebenen (z.B. gemeinsam mit dem Frauenreferat die Überarbeitu</w:t>
      </w:r>
      <w:r w:rsidR="00480F52">
        <w:t>ng des Regionalen Aktionsplans)</w:t>
      </w:r>
    </w:p>
    <w:p w:rsidR="00566CE0" w:rsidRDefault="00566CE0" w:rsidP="00566CE0">
      <w:pPr>
        <w:pStyle w:val="Textkrper"/>
        <w:jc w:val="both"/>
        <w:rPr>
          <w:color w:val="000000"/>
          <w:sz w:val="26"/>
          <w:u w:val="single" w:color="000000"/>
        </w:rPr>
      </w:pPr>
      <w:r>
        <w:rPr>
          <w:u w:val="single"/>
        </w:rPr>
        <w:t>Maßnahmen / Ziele:</w:t>
      </w:r>
    </w:p>
    <w:p w:rsidR="00566CE0" w:rsidRDefault="00566CE0" w:rsidP="00566CE0">
      <w:pPr>
        <w:pStyle w:val="Textkrper"/>
        <w:jc w:val="both"/>
        <w:rPr>
          <w:color w:val="000000"/>
          <w:sz w:val="26"/>
        </w:rPr>
      </w:pPr>
      <w:r>
        <w:t xml:space="preserve">In den einzelnen Geschäftsbereichen (Bürgerschaftliches Engagement, Bürgerbeteiligung) werden Projekte umgesetzt, die beide Geschlechter gleichermaßen ansprechen. So wird bei Bürgerräten durch die Zufallsauswahl darauf geachtet, dass ein Geschlechtergleichgewicht besteht. Damit werden gleichwertige Partizipationsmöglichkeiten für Männer und Frauen ermöglicht. Auch bei anderen Angeboten (Art of Hosting-Training, aha plus, Projektschmiede) werden Frauen durch direkte Ansprache zu einer Teilnahme bestärkt. </w:t>
      </w:r>
    </w:p>
    <w:p w:rsidR="00566CE0" w:rsidRDefault="00566CE0" w:rsidP="00566CE0">
      <w:pPr>
        <w:pStyle w:val="Textkrper"/>
        <w:jc w:val="both"/>
        <w:rPr>
          <w:color w:val="000000"/>
          <w:sz w:val="26"/>
        </w:rPr>
      </w:pPr>
      <w:r>
        <w:t>Projektschmiede: Wir achten in der Sprache darauf, alle Geschlechter gleichermaßen anzusprechen und auch in der Auswahl der Prozessbegleiter*innen, die das Format vorbereiten, ist Vielfalt ein wichtiges Kriterium. Sowohl bei den Teilnehmenden sowie, bei den eingebrachten Projekten ist eine Vielfalt und Ausgewogenheit erkennbar.</w:t>
      </w:r>
    </w:p>
    <w:p w:rsidR="00566CE0" w:rsidRDefault="00566CE0" w:rsidP="00566CE0">
      <w:pPr>
        <w:pStyle w:val="Textkrper"/>
        <w:jc w:val="both"/>
        <w:rPr>
          <w:color w:val="000000"/>
          <w:sz w:val="26"/>
        </w:rPr>
      </w:pPr>
      <w:r>
        <w:t>Vorarlberg Mitdenken Plattform:</w:t>
      </w:r>
      <w:r w:rsidR="00270D67">
        <w:t xml:space="preserve"> </w:t>
      </w:r>
      <w:r>
        <w:t>In der Kommunikation auf der Online-Beteiligungsplattform wird besonders darauf geachtet, dass wir in Text und Bild geschlecht</w:t>
      </w:r>
      <w:r w:rsidR="00480F52">
        <w:t>ergerecht formulieren/abbilden.</w:t>
      </w:r>
    </w:p>
    <w:p w:rsidR="00566CE0" w:rsidRDefault="00566CE0" w:rsidP="00566CE0">
      <w:pPr>
        <w:pStyle w:val="Textkrper"/>
        <w:jc w:val="both"/>
        <w:rPr>
          <w:color w:val="000000"/>
          <w:sz w:val="26"/>
        </w:rPr>
      </w:pPr>
      <w:r>
        <w:rPr>
          <w:u w:val="single"/>
        </w:rPr>
        <w:t>Geplante Aufwendungen:</w:t>
      </w:r>
      <w:r w:rsidRPr="00480F52">
        <w:t xml:space="preserve"> </w:t>
      </w:r>
      <w:r w:rsidR="00480F52">
        <w:t>€ 352.000,-</w:t>
      </w:r>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0300 Abt. Personal</w:t>
      </w:r>
      <w:r>
        <w:rPr>
          <w:b/>
        </w:rPr>
        <w:br/>
        <w:t>Voranschlagstelle: 1-020000-5000-000 Geldbezüge der Beamten</w:t>
      </w:r>
    </w:p>
    <w:p w:rsidR="00566CE0" w:rsidRDefault="00566CE0" w:rsidP="00566CE0">
      <w:pPr>
        <w:pStyle w:val="Textkrper"/>
        <w:jc w:val="both"/>
        <w:rPr>
          <w:color w:val="FF0000"/>
        </w:rPr>
      </w:pPr>
      <w:r>
        <w:rPr>
          <w:b/>
        </w:rPr>
        <w:t xml:space="preserve">Geldbezüge der Beamten </w:t>
      </w:r>
    </w:p>
    <w:p w:rsidR="00566CE0" w:rsidRDefault="00566CE0" w:rsidP="00566CE0">
      <w:pPr>
        <w:pStyle w:val="Textkrper"/>
        <w:jc w:val="both"/>
        <w:rPr>
          <w:color w:val="000000"/>
        </w:rPr>
      </w:pPr>
      <w:r>
        <w:t>2019 waren 32,6 % der Bediensteten mit weniger als 40 Wochenstunden angestellt. Die Verteilung der Teilzeitbeschäftigung auf Frauen und Männer war wie in den Vorjahren ist sehr ungleich:</w:t>
      </w:r>
    </w:p>
    <w:tbl>
      <w:tblPr>
        <w:tblStyle w:val="Tabellenraster"/>
        <w:tblW w:w="9285" w:type="dxa"/>
        <w:tblInd w:w="0" w:type="dxa"/>
        <w:tblLook w:val="04A0" w:firstRow="1" w:lastRow="0" w:firstColumn="1" w:lastColumn="0" w:noHBand="0" w:noVBand="1"/>
      </w:tblPr>
      <w:tblGrid>
        <w:gridCol w:w="2628"/>
        <w:gridCol w:w="988"/>
        <w:gridCol w:w="888"/>
        <w:gridCol w:w="972"/>
        <w:gridCol w:w="888"/>
        <w:gridCol w:w="974"/>
        <w:gridCol w:w="991"/>
        <w:gridCol w:w="956"/>
      </w:tblGrid>
      <w:tr w:rsidR="00566CE0" w:rsidTr="00480F52">
        <w:tc>
          <w:tcPr>
            <w:tcW w:w="2628" w:type="dxa"/>
            <w:tcBorders>
              <w:top w:val="single" w:sz="6" w:space="0" w:color="000000"/>
              <w:left w:val="single" w:sz="6" w:space="0" w:color="000000"/>
              <w:bottom w:val="single" w:sz="6" w:space="0" w:color="000000"/>
              <w:right w:val="single" w:sz="6" w:space="0" w:color="000000"/>
            </w:tcBorders>
            <w:shd w:val="clear" w:color="auto" w:fill="EEECE1"/>
          </w:tcPr>
          <w:p w:rsidR="00566CE0" w:rsidRDefault="00566CE0">
            <w:pPr>
              <w:pStyle w:val="Textkrper"/>
              <w:spacing w:line="276" w:lineRule="auto"/>
              <w:jc w:val="both"/>
            </w:pPr>
          </w:p>
        </w:tc>
        <w:tc>
          <w:tcPr>
            <w:tcW w:w="988" w:type="dxa"/>
            <w:tcBorders>
              <w:top w:val="single" w:sz="6" w:space="0" w:color="000000"/>
              <w:left w:val="single" w:sz="6" w:space="0" w:color="000000"/>
              <w:bottom w:val="single" w:sz="6" w:space="0" w:color="000000"/>
              <w:right w:val="single" w:sz="6" w:space="0" w:color="000000"/>
            </w:tcBorders>
            <w:shd w:val="clear" w:color="auto" w:fill="EEECE1"/>
            <w:hideMark/>
          </w:tcPr>
          <w:p w:rsidR="00566CE0" w:rsidRDefault="00566CE0">
            <w:pPr>
              <w:pStyle w:val="Textkrper"/>
              <w:spacing w:line="276" w:lineRule="auto"/>
              <w:jc w:val="both"/>
              <w:rPr>
                <w:color w:val="000000"/>
              </w:rPr>
            </w:pPr>
            <w:r>
              <w:t>2013</w:t>
            </w:r>
          </w:p>
        </w:tc>
        <w:tc>
          <w:tcPr>
            <w:tcW w:w="888" w:type="dxa"/>
            <w:tcBorders>
              <w:top w:val="single" w:sz="6" w:space="0" w:color="000000"/>
              <w:left w:val="single" w:sz="6" w:space="0" w:color="000000"/>
              <w:bottom w:val="single" w:sz="6" w:space="0" w:color="000000"/>
              <w:right w:val="single" w:sz="6" w:space="0" w:color="000000"/>
            </w:tcBorders>
            <w:shd w:val="clear" w:color="auto" w:fill="EEECE1"/>
            <w:hideMark/>
          </w:tcPr>
          <w:p w:rsidR="00566CE0" w:rsidRDefault="00566CE0">
            <w:pPr>
              <w:pStyle w:val="Textkrper"/>
              <w:spacing w:line="276" w:lineRule="auto"/>
              <w:jc w:val="both"/>
              <w:rPr>
                <w:color w:val="000000"/>
              </w:rPr>
            </w:pPr>
            <w:r>
              <w:t>2014</w:t>
            </w:r>
          </w:p>
        </w:tc>
        <w:tc>
          <w:tcPr>
            <w:tcW w:w="972" w:type="dxa"/>
            <w:tcBorders>
              <w:top w:val="single" w:sz="6" w:space="0" w:color="000000"/>
              <w:left w:val="single" w:sz="6" w:space="0" w:color="000000"/>
              <w:bottom w:val="single" w:sz="6" w:space="0" w:color="000000"/>
              <w:right w:val="single" w:sz="6" w:space="0" w:color="000000"/>
            </w:tcBorders>
            <w:shd w:val="clear" w:color="auto" w:fill="EEECE1"/>
            <w:hideMark/>
          </w:tcPr>
          <w:p w:rsidR="00566CE0" w:rsidRDefault="00566CE0">
            <w:pPr>
              <w:pStyle w:val="Textkrper"/>
              <w:spacing w:line="276" w:lineRule="auto"/>
              <w:jc w:val="both"/>
              <w:rPr>
                <w:color w:val="000000"/>
              </w:rPr>
            </w:pPr>
            <w:r>
              <w:t>2015</w:t>
            </w:r>
          </w:p>
        </w:tc>
        <w:tc>
          <w:tcPr>
            <w:tcW w:w="888" w:type="dxa"/>
            <w:tcBorders>
              <w:top w:val="single" w:sz="6" w:space="0" w:color="000000"/>
              <w:left w:val="single" w:sz="6" w:space="0" w:color="000000"/>
              <w:bottom w:val="single" w:sz="6" w:space="0" w:color="000000"/>
              <w:right w:val="single" w:sz="6" w:space="0" w:color="000000"/>
            </w:tcBorders>
            <w:shd w:val="clear" w:color="auto" w:fill="EEECE1"/>
            <w:hideMark/>
          </w:tcPr>
          <w:p w:rsidR="00566CE0" w:rsidRDefault="00566CE0">
            <w:pPr>
              <w:pStyle w:val="Textkrper"/>
              <w:spacing w:line="276" w:lineRule="auto"/>
              <w:jc w:val="both"/>
              <w:rPr>
                <w:color w:val="000000"/>
              </w:rPr>
            </w:pPr>
            <w:r>
              <w:t>2016</w:t>
            </w:r>
          </w:p>
        </w:tc>
        <w:tc>
          <w:tcPr>
            <w:tcW w:w="974" w:type="dxa"/>
            <w:tcBorders>
              <w:top w:val="single" w:sz="6" w:space="0" w:color="000000"/>
              <w:left w:val="single" w:sz="6" w:space="0" w:color="000000"/>
              <w:bottom w:val="single" w:sz="6" w:space="0" w:color="000000"/>
              <w:right w:val="single" w:sz="6" w:space="0" w:color="000000"/>
            </w:tcBorders>
            <w:shd w:val="clear" w:color="auto" w:fill="EEECE1"/>
            <w:hideMark/>
          </w:tcPr>
          <w:p w:rsidR="00566CE0" w:rsidRDefault="00566CE0">
            <w:pPr>
              <w:pStyle w:val="Textkrper"/>
              <w:spacing w:line="276" w:lineRule="auto"/>
              <w:jc w:val="both"/>
              <w:rPr>
                <w:color w:val="000000"/>
              </w:rPr>
            </w:pPr>
            <w:r>
              <w:t>2017</w:t>
            </w:r>
          </w:p>
        </w:tc>
        <w:tc>
          <w:tcPr>
            <w:tcW w:w="991" w:type="dxa"/>
            <w:tcBorders>
              <w:top w:val="single" w:sz="6" w:space="0" w:color="000000"/>
              <w:left w:val="single" w:sz="6" w:space="0" w:color="000000"/>
              <w:bottom w:val="single" w:sz="6" w:space="0" w:color="000000"/>
              <w:right w:val="single" w:sz="6" w:space="0" w:color="000000"/>
            </w:tcBorders>
            <w:shd w:val="clear" w:color="auto" w:fill="EEECE1"/>
            <w:hideMark/>
          </w:tcPr>
          <w:p w:rsidR="00566CE0" w:rsidRDefault="00566CE0">
            <w:pPr>
              <w:pStyle w:val="Textkrper"/>
              <w:spacing w:line="276" w:lineRule="auto"/>
              <w:jc w:val="both"/>
              <w:rPr>
                <w:color w:val="000000"/>
              </w:rPr>
            </w:pPr>
            <w:r>
              <w:t>2018</w:t>
            </w:r>
          </w:p>
        </w:tc>
        <w:tc>
          <w:tcPr>
            <w:tcW w:w="956" w:type="dxa"/>
            <w:tcBorders>
              <w:top w:val="single" w:sz="6" w:space="0" w:color="000000"/>
              <w:left w:val="single" w:sz="6" w:space="0" w:color="000000"/>
              <w:bottom w:val="single" w:sz="6" w:space="0" w:color="000000"/>
              <w:right w:val="single" w:sz="6" w:space="0" w:color="000000"/>
            </w:tcBorders>
            <w:shd w:val="clear" w:color="auto" w:fill="EEECE1"/>
            <w:hideMark/>
          </w:tcPr>
          <w:p w:rsidR="00566CE0" w:rsidRDefault="00566CE0">
            <w:pPr>
              <w:pStyle w:val="Textkrper"/>
              <w:spacing w:line="276" w:lineRule="auto"/>
              <w:jc w:val="both"/>
              <w:rPr>
                <w:color w:val="000000"/>
              </w:rPr>
            </w:pPr>
            <w:r>
              <w:t>2019</w:t>
            </w:r>
          </w:p>
        </w:tc>
      </w:tr>
      <w:tr w:rsidR="00566CE0" w:rsidTr="00480F52">
        <w:tc>
          <w:tcPr>
            <w:tcW w:w="262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Teilzeitquote Frauen</w:t>
            </w:r>
          </w:p>
        </w:tc>
        <w:tc>
          <w:tcPr>
            <w:tcW w:w="98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49,5%</w:t>
            </w:r>
          </w:p>
        </w:tc>
        <w:tc>
          <w:tcPr>
            <w:tcW w:w="88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48,8%</w:t>
            </w:r>
          </w:p>
        </w:tc>
        <w:tc>
          <w:tcPr>
            <w:tcW w:w="972"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49,6%</w:t>
            </w:r>
          </w:p>
        </w:tc>
        <w:tc>
          <w:tcPr>
            <w:tcW w:w="88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49,1%</w:t>
            </w:r>
          </w:p>
        </w:tc>
        <w:tc>
          <w:tcPr>
            <w:tcW w:w="974"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50,1 %</w:t>
            </w:r>
          </w:p>
        </w:tc>
        <w:tc>
          <w:tcPr>
            <w:tcW w:w="991"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51,3 %</w:t>
            </w:r>
          </w:p>
        </w:tc>
        <w:tc>
          <w:tcPr>
            <w:tcW w:w="956"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49,8 %</w:t>
            </w:r>
          </w:p>
        </w:tc>
      </w:tr>
      <w:tr w:rsidR="00566CE0" w:rsidTr="00480F52">
        <w:tc>
          <w:tcPr>
            <w:tcW w:w="262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Teilzeitquote Männern</w:t>
            </w:r>
          </w:p>
        </w:tc>
        <w:tc>
          <w:tcPr>
            <w:tcW w:w="98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9,3%</w:t>
            </w:r>
          </w:p>
        </w:tc>
        <w:tc>
          <w:tcPr>
            <w:tcW w:w="88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10,5%</w:t>
            </w:r>
          </w:p>
        </w:tc>
        <w:tc>
          <w:tcPr>
            <w:tcW w:w="972"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10,0%</w:t>
            </w:r>
          </w:p>
        </w:tc>
        <w:tc>
          <w:tcPr>
            <w:tcW w:w="888"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10,9%</w:t>
            </w:r>
          </w:p>
        </w:tc>
        <w:tc>
          <w:tcPr>
            <w:tcW w:w="974"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12,1 %</w:t>
            </w:r>
          </w:p>
        </w:tc>
        <w:tc>
          <w:tcPr>
            <w:tcW w:w="991"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13,4 %</w:t>
            </w:r>
          </w:p>
        </w:tc>
        <w:tc>
          <w:tcPr>
            <w:tcW w:w="956" w:type="dxa"/>
            <w:tcBorders>
              <w:top w:val="single" w:sz="6" w:space="0" w:color="000000"/>
              <w:left w:val="single" w:sz="6" w:space="0" w:color="000000"/>
              <w:bottom w:val="single" w:sz="6" w:space="0" w:color="000000"/>
              <w:right w:val="single" w:sz="6" w:space="0" w:color="000000"/>
            </w:tcBorders>
            <w:hideMark/>
          </w:tcPr>
          <w:p w:rsidR="00566CE0" w:rsidRDefault="00566CE0">
            <w:pPr>
              <w:pStyle w:val="Textkrper"/>
              <w:spacing w:line="276" w:lineRule="auto"/>
              <w:jc w:val="both"/>
              <w:rPr>
                <w:color w:val="000000"/>
              </w:rPr>
            </w:pPr>
            <w:r>
              <w:t>13,5 %</w:t>
            </w:r>
          </w:p>
        </w:tc>
      </w:tr>
    </w:tbl>
    <w:p w:rsidR="00566CE0" w:rsidRDefault="00566CE0" w:rsidP="00566CE0">
      <w:pPr>
        <w:pStyle w:val="Textkrper"/>
        <w:jc w:val="both"/>
        <w:rPr>
          <w:rFonts w:ascii="Calibri" w:hAnsi="Calibri"/>
          <w:color w:val="000000"/>
        </w:rPr>
      </w:pPr>
      <w:r>
        <w:t>Im Rahmen der Betrieblichen Gesundheitsmanagements wurde im Jahr 2019 eine Befragung der Mitarbeitenden durchgeführt (insgesamt nahmen ca. 50% der Bediensteten daran teil). In diesem Zusammenhang wurde auch die Frage gestellt, ob Wünsche zur Herabsetzung oder Erhöhung des Beschäftigungsausmaßes bestehen. 67 Personen (55 Frauen und 12 Männer) gaben an, Interesse an einer Erhöhung zu haben, während 178 Personen (81 Frauen und 97 Männer) ihr Beschäftigungsausmaß reduzieren möchten. Dies zeigt sich auch ein Stück weit in den oben angeführten Zahlen: die Teilzeitquote bei den Frauen blieb in den letzten 6 Jahren (abgesehen von einer kurzfristigen Erhöhung 2017 und 2018) ziemlich konstant, während die Teilzeitquote bei den Männern kontinuierlich ansteigt.</w:t>
      </w:r>
    </w:p>
    <w:p w:rsidR="00566CE0" w:rsidRDefault="00566CE0" w:rsidP="00566CE0">
      <w:pPr>
        <w:pStyle w:val="Textkrper"/>
        <w:jc w:val="both"/>
        <w:rPr>
          <w:color w:val="000000"/>
        </w:rPr>
      </w:pPr>
      <w:r>
        <w:t>Die Zunahme der Teilzeitbeschäftigten hängt unter anderem damit zusammen, dass die Rückkehrquote der Mitarbeitenden, die nach einer Elternkarenz in einem Teilzeitbeschäftigungsverhältnis im Landesdienst (meistens in Teilzeit) verblieben sind, stetig zugenommen hat – im Jahr 2019 betrug die Rückkehrquote bei den Frauen 92,9% (siehe Grafik) und bei den Männern 100%. Die Verteilung der Teilzeitarbeit auf die Geschlechter zeigt aber nach wie vor ein stark traditionelles Rollenbild: Frauen sind weitaus häufiger als Männer in Teilzeitbeschäftigungsverhältnissen und ihre Beschäftigungsverhältnisse haben ein wesentlich geringeres Ausmaß, als jenes der Männer.</w:t>
      </w:r>
    </w:p>
    <w:p w:rsidR="00566CE0" w:rsidRDefault="00566CE0" w:rsidP="00566CE0">
      <w:pPr>
        <w:pStyle w:val="Textkrper"/>
        <w:jc w:val="both"/>
        <w:rPr>
          <w:color w:val="FF0000"/>
        </w:rPr>
      </w:pPr>
      <w:r>
        <w:rPr>
          <w:noProof/>
        </w:rPr>
        <w:drawing>
          <wp:inline distT="0" distB="0" distL="0" distR="0">
            <wp:extent cx="4238625" cy="270510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2705100"/>
                    </a:xfrm>
                    <a:prstGeom prst="rect">
                      <a:avLst/>
                    </a:prstGeom>
                    <a:noFill/>
                    <a:ln>
                      <a:noFill/>
                    </a:ln>
                  </pic:spPr>
                </pic:pic>
              </a:graphicData>
            </a:graphic>
          </wp:inline>
        </w:drawing>
      </w:r>
    </w:p>
    <w:p w:rsidR="00566CE0" w:rsidRDefault="00566CE0" w:rsidP="00566CE0">
      <w:pPr>
        <w:pStyle w:val="Textkrper"/>
        <w:jc w:val="both"/>
        <w:rPr>
          <w:color w:val="000000"/>
        </w:rPr>
      </w:pPr>
    </w:p>
    <w:p w:rsidR="00566CE0" w:rsidRDefault="00566CE0" w:rsidP="00566CE0">
      <w:pPr>
        <w:pStyle w:val="Textkrper"/>
        <w:jc w:val="both"/>
        <w:rPr>
          <w:i/>
          <w:color w:val="000000"/>
        </w:rPr>
      </w:pPr>
      <w:r>
        <w:t>Im Rahmen von Personalplanungsgesprächen und Stellungsbesetzungsprozessen werden Veränderungswünsche im Hinblick auf die Beschäftigungsausmaße von Mitarbeitenden laufend erhoben und nach Möglichkeit berücksichtigt, um Mitarbeiterinnen und Mitarbeitern möglichst rasch eine Erhöhung des Beschäftigungsausmaßes zu ermöglichen.</w:t>
      </w:r>
    </w:p>
    <w:p w:rsidR="00566CE0" w:rsidRDefault="00566CE0" w:rsidP="00566CE0">
      <w:pPr>
        <w:pStyle w:val="Textkrper"/>
        <w:jc w:val="both"/>
        <w:rPr>
          <w:color w:val="000000"/>
        </w:rPr>
      </w:pPr>
      <w:r>
        <w:t xml:space="preserve">Das Thema Teilzeitanstellung - inkl. aller Chancen und Risiken für alle Beteiligten -  ist auch Bestandteil </w:t>
      </w:r>
      <w:proofErr w:type="gramStart"/>
      <w:r>
        <w:t>des  Rahmenplans</w:t>
      </w:r>
      <w:proofErr w:type="gramEnd"/>
      <w:r>
        <w:t xml:space="preserve"> für Chancengleichheit und Frauenförderung 2016-21. Die daraus resultierenden Maßnahmen werden in den kommenden Jahren jeweils in die Budgets eingepflegt. Eine der geplanten Maßnahmen ist die finanzielle Unterstützung der Betreuung von Kleinkindern, wenn die Teilzeitbeschäftigung an Nachmittagen ausgeübt wird. Eine weitere ist die Erweiterung der Kleinkindbetreuung in Bregenz.</w:t>
      </w:r>
    </w:p>
    <w:p w:rsidR="00566CE0" w:rsidRDefault="00566CE0" w:rsidP="00566CE0">
      <w:pPr>
        <w:pStyle w:val="Textkrper"/>
        <w:jc w:val="both"/>
        <w:rPr>
          <w:color w:val="000000"/>
        </w:rPr>
      </w:pPr>
      <w:r>
        <w:t xml:space="preserve">Eine zentrale Zielsetzung der Personalpolitik besteht darin, innerhalb der verschiedenen Qualifikationsgruppen ein möglichst ausgewogenes Verhältnis der Geschlechter sicher zu stellen. Die Anstrengungen der letzten Jahre haben dazu geführt, dass innerhalb der Sachbearbeitung und bei den Expertinnen und Experten ein annähernd ausgewogenes Verhältnis erreicht werden konnte. </w:t>
      </w:r>
    </w:p>
    <w:p w:rsidR="00566CE0" w:rsidRDefault="00566CE0" w:rsidP="00566CE0">
      <w:pPr>
        <w:pStyle w:val="Textkrper"/>
        <w:jc w:val="both"/>
        <w:rPr>
          <w:color w:val="000000"/>
        </w:rPr>
      </w:pPr>
      <w:r>
        <w:rPr>
          <w:noProof/>
        </w:rPr>
        <w:drawing>
          <wp:inline distT="0" distB="0" distL="0" distR="0">
            <wp:extent cx="4029075" cy="238725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3825" cy="2390065"/>
                    </a:xfrm>
                    <a:prstGeom prst="rect">
                      <a:avLst/>
                    </a:prstGeom>
                    <a:noFill/>
                    <a:ln>
                      <a:noFill/>
                    </a:ln>
                  </pic:spPr>
                </pic:pic>
              </a:graphicData>
            </a:graphic>
          </wp:inline>
        </w:drawing>
      </w:r>
    </w:p>
    <w:p w:rsidR="00566CE0" w:rsidRDefault="00566CE0" w:rsidP="00566CE0">
      <w:pPr>
        <w:pStyle w:val="Textkrper"/>
        <w:jc w:val="both"/>
        <w:rPr>
          <w:color w:val="000000"/>
        </w:rPr>
      </w:pPr>
      <w:r>
        <w:rPr>
          <w:noProof/>
        </w:rPr>
        <w:drawing>
          <wp:inline distT="0" distB="0" distL="0" distR="0">
            <wp:extent cx="4048125" cy="22669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8125" cy="2266950"/>
                    </a:xfrm>
                    <a:prstGeom prst="rect">
                      <a:avLst/>
                    </a:prstGeom>
                    <a:noFill/>
                    <a:ln>
                      <a:noFill/>
                    </a:ln>
                  </pic:spPr>
                </pic:pic>
              </a:graphicData>
            </a:graphic>
          </wp:inline>
        </w:drawing>
      </w:r>
      <w:r>
        <w:t xml:space="preserve"> </w:t>
      </w:r>
    </w:p>
    <w:p w:rsidR="00566CE0" w:rsidRDefault="00566CE0" w:rsidP="00566CE0">
      <w:pPr>
        <w:pStyle w:val="Textkrper"/>
        <w:jc w:val="both"/>
        <w:rPr>
          <w:color w:val="000000"/>
        </w:rPr>
      </w:pPr>
    </w:p>
    <w:p w:rsidR="00566CE0" w:rsidRDefault="00566CE0" w:rsidP="00566CE0">
      <w:pPr>
        <w:pStyle w:val="Textkrper"/>
        <w:jc w:val="both"/>
        <w:rPr>
          <w:color w:val="000000"/>
        </w:rPr>
      </w:pPr>
      <w:r>
        <w:t xml:space="preserve">Im Bereich der Führung sind wir davon jedoch noch weit entfernt. Dennoch: aufgrund der </w:t>
      </w:r>
      <w:r w:rsidR="0017175D">
        <w:t xml:space="preserve">Entwicklung der vergangenen Jahre und der </w:t>
      </w:r>
      <w:r>
        <w:t>bevorstehenden Pensionierungswelle (in den nächsten 15 Jahren werden über 40% der Landesbediensteten – vornehmlich Männer die Pension antreten) sind entsprechende Veränderungen zu erwarten.</w:t>
      </w:r>
    </w:p>
    <w:p w:rsidR="00566CE0" w:rsidRDefault="00566CE0" w:rsidP="00566CE0">
      <w:pPr>
        <w:pStyle w:val="Textkrper"/>
        <w:jc w:val="both"/>
        <w:rPr>
          <w:color w:val="FF0000"/>
        </w:rPr>
      </w:pPr>
      <w:r>
        <w:rPr>
          <w:noProof/>
        </w:rPr>
        <w:drawing>
          <wp:inline distT="0" distB="0" distL="0" distR="0">
            <wp:extent cx="4029075" cy="23717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2371725"/>
                    </a:xfrm>
                    <a:prstGeom prst="rect">
                      <a:avLst/>
                    </a:prstGeom>
                    <a:noFill/>
                    <a:ln>
                      <a:noFill/>
                    </a:ln>
                  </pic:spPr>
                </pic:pic>
              </a:graphicData>
            </a:graphic>
          </wp:inline>
        </w:drawing>
      </w:r>
    </w:p>
    <w:p w:rsidR="00566CE0" w:rsidRDefault="00566CE0" w:rsidP="00566CE0">
      <w:pPr>
        <w:pStyle w:val="Textkrper"/>
        <w:pBdr>
          <w:bottom w:val="single" w:sz="4" w:space="1" w:color="auto"/>
        </w:pBdr>
        <w:rPr>
          <w:b/>
        </w:rPr>
      </w:pPr>
      <w:r>
        <w:rPr>
          <w:b/>
        </w:rPr>
        <w:t>Bewirtschafter/Abteilung: 0300 Abt. Personal</w:t>
      </w:r>
      <w:r>
        <w:rPr>
          <w:b/>
        </w:rPr>
        <w:br/>
        <w:t>Voranschlagstelle: 1-020000-5650-000 Überstundenvergütungen der Beamten</w:t>
      </w:r>
    </w:p>
    <w:p w:rsidR="00566CE0" w:rsidRDefault="00566CE0" w:rsidP="00566CE0">
      <w:pPr>
        <w:pStyle w:val="Textkrper"/>
        <w:jc w:val="both"/>
        <w:rPr>
          <w:b/>
          <w:color w:val="000000"/>
        </w:rPr>
      </w:pPr>
      <w:r>
        <w:rPr>
          <w:b/>
        </w:rPr>
        <w:t xml:space="preserve">Überstundenvergütungen </w:t>
      </w:r>
    </w:p>
    <w:p w:rsidR="00566CE0" w:rsidRDefault="00566CE0" w:rsidP="00566CE0">
      <w:pPr>
        <w:pStyle w:val="Textkrper"/>
        <w:jc w:val="both"/>
        <w:rPr>
          <w:color w:val="000000"/>
        </w:rPr>
      </w:pPr>
      <w:r>
        <w:t xml:space="preserve">Rund 87% der für die Überstunden von </w:t>
      </w:r>
      <w:proofErr w:type="spellStart"/>
      <w:r>
        <w:t>pragmatisierten</w:t>
      </w:r>
      <w:proofErr w:type="spellEnd"/>
      <w:r>
        <w:t xml:space="preserve"> Bediensteten, Angestellten, Angestellten in handwerklicher Verwendung und Waldaufseherinnen bzw. Waldaufsehern vorgesehenen Mittel werden an Männer ausbezahlt, wobei der Anteil der Männer an der Gesamtzahl der Landesbediensteten </w:t>
      </w:r>
      <w:proofErr w:type="spellStart"/>
      <w:r>
        <w:t>ca</w:t>
      </w:r>
      <w:proofErr w:type="spellEnd"/>
      <w:r>
        <w:t xml:space="preserve"> 49 % (innerhalb BRP) beträgt.</w:t>
      </w:r>
    </w:p>
    <w:p w:rsidR="00566CE0" w:rsidRDefault="00566CE0" w:rsidP="00566CE0">
      <w:pPr>
        <w:pStyle w:val="Textkrper"/>
        <w:jc w:val="both"/>
        <w:rPr>
          <w:color w:val="000000"/>
        </w:rPr>
      </w:pPr>
      <w:r>
        <w:t>Überstunden werden überwiegend von Vollzeitbeschäftigten erbracht. 49,8 % der Frauen sind teilzeitbeschäftigt. Deshalb wird seitens der Abteilung PrsP in Zeiten eines höheren Arbeitsanfalles Frauen punktuell die befristete Erhöhung des Beschäftigungsausmaßes angeboten, um einen adäquaten Ausgleich zu schaffen. In den Personalplanungsgesprächen wird seitens der Abteilung PrsP anhand der Zeitkontenauswertung auf diese Möglichkeit aufmerksam gemacht.</w:t>
      </w:r>
    </w:p>
    <w:p w:rsidR="00566CE0" w:rsidRDefault="00566CE0"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0300 Abt. Personal</w:t>
      </w:r>
      <w:r>
        <w:rPr>
          <w:b/>
        </w:rPr>
        <w:br/>
        <w:t>Voranschlagstelle: 1-020000-5901-000 Aus- und Fortbildung des Personals</w:t>
      </w:r>
    </w:p>
    <w:p w:rsidR="00566CE0" w:rsidRDefault="00566CE0" w:rsidP="00566CE0">
      <w:pPr>
        <w:pStyle w:val="Textkrper"/>
        <w:jc w:val="both"/>
        <w:rPr>
          <w:b/>
          <w:color w:val="000000"/>
        </w:rPr>
      </w:pPr>
      <w:r>
        <w:rPr>
          <w:b/>
        </w:rPr>
        <w:t>Aus- und Fortbildung des Personals</w:t>
      </w:r>
    </w:p>
    <w:p w:rsidR="00566CE0" w:rsidRPr="000378BB" w:rsidRDefault="00566CE0" w:rsidP="00566CE0">
      <w:pPr>
        <w:pStyle w:val="Textkrper"/>
        <w:jc w:val="both"/>
        <w:rPr>
          <w:color w:val="000000"/>
        </w:rPr>
      </w:pPr>
      <w:r>
        <w:t>Das Verhältnis zwischen den Geschlechtern bei der Inanspruchnahme von Fortbildungsmaßnahmen im Jahr 2019 konnte noch nicht ausgewertet werden. Es werden jedoch keine gravierenden Verschiebungen erwartet. Gegebenenfalls wird in der Programmgestaltung darauf reagiert werden. Zur Erinnerung hier die Zahlen des Vorjahres:</w:t>
      </w:r>
    </w:p>
    <w:p w:rsidR="00566CE0" w:rsidRDefault="00566CE0" w:rsidP="00566CE0">
      <w:pPr>
        <w:pStyle w:val="Textkrper"/>
        <w:jc w:val="both"/>
        <w:rPr>
          <w:color w:val="FF0000"/>
        </w:rPr>
      </w:pPr>
      <w:r>
        <w:rPr>
          <w:noProof/>
        </w:rPr>
        <w:drawing>
          <wp:inline distT="0" distB="0" distL="0" distR="0">
            <wp:extent cx="5943600" cy="292417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rsidR="00566CE0" w:rsidRDefault="00566CE0" w:rsidP="00566CE0">
      <w:pPr>
        <w:pStyle w:val="Textkrper"/>
        <w:jc w:val="both"/>
        <w:rPr>
          <w:color w:val="000000"/>
        </w:rPr>
      </w:pPr>
      <w:r>
        <w:t xml:space="preserve">Weiterhin werden die karenzierten Bediensteten in den Schreiben vor Antritt des Mutterschutzes und zum Karenzantritt sowie in Zusammenhang mit dem Ansuchen auf externe Zugänge (Intranet und WEGWEISER Karenz- und Auszeitenmanagement) auf die Möglichkeit zur Weiterbildung hingewiesen. Karenzierte können beantragen, dass sie Informationen zu Fort- und Weiterbildungsmaßnahmen an ihre private E-Mail-Adresse erhalten. Zudem haben sie zwischenzeitlich Zugang zum Intranet des Landes Vorarlberg, um sich über das Angebot informieren zu können. </w:t>
      </w:r>
    </w:p>
    <w:p w:rsidR="00566CE0" w:rsidRDefault="00566CE0" w:rsidP="00566CE0">
      <w:pPr>
        <w:pStyle w:val="Textkrper"/>
        <w:jc w:val="both"/>
        <w:rPr>
          <w:color w:val="000000"/>
        </w:rPr>
      </w:pPr>
      <w:r>
        <w:t xml:space="preserve">Durch die Corona-Pandemie mussten im Jahr 2020 zahlreiche Fortbildungsveranstaltungen verschoben werden. In diesem Zusammenhang wird auch die Möglichkeit einer stärkeren Ausrichtung auf digitale Angebote geprüft. Dies könnte </w:t>
      </w:r>
      <w:proofErr w:type="spellStart"/>
      <w:r>
        <w:t>evt</w:t>
      </w:r>
      <w:proofErr w:type="spellEnd"/>
      <w:r>
        <w:t>. eine neue Chance für karenzierte Mitarbeitende eröffnen, an Fortbildungen teilzunehmen.</w:t>
      </w:r>
    </w:p>
    <w:p w:rsidR="00566CE0" w:rsidRDefault="00566CE0" w:rsidP="00566CE0">
      <w:pPr>
        <w:pStyle w:val="Textkrper"/>
        <w:jc w:val="both"/>
        <w:rPr>
          <w:color w:val="000000"/>
        </w:rPr>
      </w:pPr>
      <w:r>
        <w:t>2019 startete ein neuer Cross-Mentoring-Durchgang, der im Oktober 2020 abgeschlossen wird.</w:t>
      </w:r>
    </w:p>
    <w:p w:rsidR="00566CE0" w:rsidRDefault="00566CE0" w:rsidP="00566CE0">
      <w:pPr>
        <w:pStyle w:val="Textkrper"/>
        <w:jc w:val="both"/>
        <w:rPr>
          <w:color w:val="000000"/>
        </w:rPr>
      </w:pPr>
      <w:r>
        <w:t>Bei der Auswahl der Referentinnen und Referenten im Rahmen der Verwaltungsakademie wird weiterhin auf eine entsprechende Ausgewogenheit geachtet. Auch hier liegen die Zahlen für 2019 noch nicht vor. Unten die diesbezügliche Entwicklung für den Zeitraum 2010-2018.</w:t>
      </w:r>
    </w:p>
    <w:p w:rsidR="00566CE0" w:rsidRDefault="00566CE0" w:rsidP="00566CE0">
      <w:pPr>
        <w:pStyle w:val="Textkrper"/>
        <w:jc w:val="both"/>
        <w:rPr>
          <w:color w:val="000000"/>
        </w:rPr>
      </w:pPr>
      <w:r>
        <w:rPr>
          <w:noProof/>
        </w:rPr>
        <w:drawing>
          <wp:inline distT="0" distB="0" distL="0" distR="0">
            <wp:extent cx="3438525" cy="4533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4533900"/>
                    </a:xfrm>
                    <a:prstGeom prst="rect">
                      <a:avLst/>
                    </a:prstGeom>
                    <a:noFill/>
                    <a:ln>
                      <a:noFill/>
                    </a:ln>
                  </pic:spPr>
                </pic:pic>
              </a:graphicData>
            </a:graphic>
          </wp:inline>
        </w:drawing>
      </w:r>
    </w:p>
    <w:p w:rsidR="00566CE0" w:rsidRDefault="00566CE0" w:rsidP="00566CE0">
      <w:pPr>
        <w:pStyle w:val="Textkrper"/>
        <w:jc w:val="both"/>
        <w:rPr>
          <w:color w:val="000000"/>
        </w:rPr>
      </w:pPr>
      <w:r>
        <w:t>Im Juli 2020 wurde die Kampagne „Kein Platz für Fouls – Respekt geht uns alle an“ zum respektvollen und nichtdiskriminierenden Umgang innerhalb der Vorarlberger Landesverwaltung gestartet.</w:t>
      </w:r>
    </w:p>
    <w:p w:rsidR="00566CE0" w:rsidRDefault="00566CE0" w:rsidP="00566CE0">
      <w:pPr>
        <w:pStyle w:val="Textkrper"/>
        <w:jc w:val="both"/>
        <w:rPr>
          <w:color w:val="000000"/>
        </w:rPr>
      </w:pPr>
      <w:r>
        <w:t>Im Jahr 2020 wird zudem eine umfassende Ergänzung im Bereich der sprachlichen Gleichstellung umgesetzt (Stichwort „mehr als zwei Geschlechter“).</w:t>
      </w:r>
    </w:p>
    <w:p w:rsidR="00566CE0" w:rsidRDefault="00566CE0"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2100 Elementarpädagogik, Schule und Gesellschaft</w:t>
      </w:r>
      <w:r>
        <w:rPr>
          <w:b/>
        </w:rPr>
        <w:br/>
        <w:t>Voranschlagstelle: 1-259005-7670-070 Förd</w:t>
      </w:r>
      <w:r w:rsidR="0001409E">
        <w:rPr>
          <w:b/>
        </w:rPr>
        <w:t>erung</w:t>
      </w:r>
      <w:r>
        <w:rPr>
          <w:b/>
        </w:rPr>
        <w:t xml:space="preserve"> der Bildungsarbeit in der außerschul</w:t>
      </w:r>
      <w:r w:rsidR="0001409E">
        <w:rPr>
          <w:b/>
        </w:rPr>
        <w:t>ischen</w:t>
      </w:r>
      <w:r>
        <w:rPr>
          <w:b/>
        </w:rPr>
        <w:t xml:space="preserve"> Jugenderziehung</w:t>
      </w:r>
    </w:p>
    <w:p w:rsidR="00566CE0" w:rsidRDefault="00566CE0" w:rsidP="00566CE0">
      <w:pPr>
        <w:pStyle w:val="Textkrper"/>
        <w:jc w:val="both"/>
        <w:rPr>
          <w:color w:val="000000"/>
          <w:u w:val="single"/>
        </w:rPr>
      </w:pPr>
      <w:r>
        <w:rPr>
          <w:u w:val="single"/>
        </w:rPr>
        <w:t>Situation und daraus entstehende Fragen:</w:t>
      </w:r>
    </w:p>
    <w:p w:rsidR="0007478E" w:rsidRPr="00480F52" w:rsidRDefault="00566CE0" w:rsidP="00480F52">
      <w:pPr>
        <w:pStyle w:val="Textkrper"/>
        <w:jc w:val="both"/>
      </w:pPr>
      <w:r>
        <w:t>Bei der Amazone stehen Mädchen im Mittelpunkt. Ziel der Arbeit ist Mädchen und junge</w:t>
      </w:r>
      <w:r w:rsidR="0007478E">
        <w:t xml:space="preserve"> </w:t>
      </w:r>
      <w:r>
        <w:t xml:space="preserve">Frauen durch spezifische </w:t>
      </w:r>
      <w:proofErr w:type="spellStart"/>
      <w:r>
        <w:t>Bildungs</w:t>
      </w:r>
      <w:proofErr w:type="spellEnd"/>
      <w:r>
        <w:t xml:space="preserve"> - und Beratungsangebote bei der Gestaltung ihres</w:t>
      </w:r>
      <w:r w:rsidR="0007478E">
        <w:t xml:space="preserve"> </w:t>
      </w:r>
      <w:r>
        <w:t>Lebens zu unterstützen und Hilfestellungen anzubieten. Das Angebot richtet sich an</w:t>
      </w:r>
      <w:r w:rsidR="0007478E">
        <w:t xml:space="preserve"> </w:t>
      </w:r>
      <w:r>
        <w:t>Mädchen und junge Frauen von 10 bis 18 Jahren.</w:t>
      </w:r>
      <w:r w:rsidR="0007478E">
        <w:t xml:space="preserve"> </w:t>
      </w:r>
      <w:r w:rsidR="0007478E" w:rsidRPr="00480F52">
        <w:t xml:space="preserve">Es geht um die Auseinandersetzung und Beschäftigung mit prägenden Einflüssen, mit gegenwärtigen Haltungen und aktueller Selbsteinschätzung, </w:t>
      </w:r>
      <w:proofErr w:type="gramStart"/>
      <w:r w:rsidR="0007478E" w:rsidRPr="00480F52">
        <w:t>die  Stärkung</w:t>
      </w:r>
      <w:proofErr w:type="gramEnd"/>
      <w:r w:rsidR="0007478E" w:rsidRPr="00480F52">
        <w:t xml:space="preserve"> des Selbstbewusstseins und des Selbstvertrauens, das Erkennen und den Zugang zu Fähigkeiten und Stärken, die Akzeptanz ihrer Einzigartigkeit und Besonderheit und um die Reflexion schon vorhandener Ressourcen und Fähigkeiten sowie das Erweitern eigener Kompetenzen.</w:t>
      </w:r>
    </w:p>
    <w:p w:rsidR="00566CE0" w:rsidRDefault="00566CE0" w:rsidP="00566CE0">
      <w:pPr>
        <w:pStyle w:val="Textkrper"/>
        <w:jc w:val="both"/>
        <w:rPr>
          <w:color w:val="000000"/>
          <w:u w:val="single"/>
        </w:rPr>
      </w:pPr>
      <w:r>
        <w:rPr>
          <w:u w:val="single"/>
        </w:rPr>
        <w:t>Maßnahmen/Ziele:</w:t>
      </w:r>
    </w:p>
    <w:p w:rsidR="00566CE0" w:rsidRPr="00480F52" w:rsidRDefault="00566CE0" w:rsidP="00566CE0">
      <w:pPr>
        <w:pStyle w:val="Textkrper"/>
        <w:jc w:val="both"/>
      </w:pPr>
      <w:r>
        <w:t xml:space="preserve">Projekt </w:t>
      </w:r>
      <w:proofErr w:type="spellStart"/>
      <w:r>
        <w:t>artGIRLSculture</w:t>
      </w:r>
      <w:proofErr w:type="spellEnd"/>
      <w:r>
        <w:t xml:space="preserve"> 2020</w:t>
      </w:r>
      <w:r w:rsidR="0007478E">
        <w:t xml:space="preserve">: </w:t>
      </w:r>
      <w:r>
        <w:t>Das Projekt verfolgt das Ziel der Sichtbarmachung von kultureller Identität, individueller</w:t>
      </w:r>
      <w:r w:rsidR="0007478E">
        <w:t xml:space="preserve"> </w:t>
      </w:r>
      <w:r>
        <w:t>Lebenswelten und Fluchterfahrung in kreativer und künstlerischer Ausdrucksform. Um</w:t>
      </w:r>
      <w:r w:rsidR="0007478E">
        <w:t xml:space="preserve"> </w:t>
      </w:r>
      <w:r>
        <w:t xml:space="preserve">dieses Ziel zu erreichen, arbeitet </w:t>
      </w:r>
      <w:proofErr w:type="spellStart"/>
      <w:r>
        <w:t>artGIRLSculture</w:t>
      </w:r>
      <w:proofErr w:type="spellEnd"/>
      <w:r>
        <w:t xml:space="preserve"> mit Kunst, Kultur, </w:t>
      </w:r>
      <w:proofErr w:type="spellStart"/>
      <w:r>
        <w:t>Biographiearbeit</w:t>
      </w:r>
      <w:proofErr w:type="spellEnd"/>
      <w:r>
        <w:t xml:space="preserve"> und</w:t>
      </w:r>
      <w:r w:rsidR="0007478E">
        <w:t xml:space="preserve"> </w:t>
      </w:r>
      <w:r>
        <w:t xml:space="preserve">Kulturpädagogik. Aufbauend auf die Erfahrungen der </w:t>
      </w:r>
      <w:proofErr w:type="gramStart"/>
      <w:r>
        <w:t>Projektumsetzungen  soll</w:t>
      </w:r>
      <w:proofErr w:type="gramEnd"/>
      <w:r>
        <w:t xml:space="preserve"> </w:t>
      </w:r>
      <w:proofErr w:type="spellStart"/>
      <w:r>
        <w:t>artGIRLSculture</w:t>
      </w:r>
      <w:proofErr w:type="spellEnd"/>
      <w:r>
        <w:t xml:space="preserve"> auch 2021 mit Mädchen im öffentlichen Raum umgesetzt werden.</w:t>
      </w:r>
    </w:p>
    <w:p w:rsidR="00566CE0" w:rsidRDefault="00566CE0" w:rsidP="00566CE0">
      <w:pPr>
        <w:pStyle w:val="Textkrper"/>
        <w:jc w:val="both"/>
        <w:rPr>
          <w:color w:val="000000"/>
        </w:rPr>
      </w:pPr>
      <w:r>
        <w:rPr>
          <w:u w:val="single"/>
        </w:rPr>
        <w:t xml:space="preserve">Geplante Aufwendungen: </w:t>
      </w:r>
      <w:r>
        <w:t>€ 5.</w:t>
      </w:r>
      <w:proofErr w:type="gramStart"/>
      <w:r>
        <w:t>000,--</w:t>
      </w:r>
      <w:proofErr w:type="gramEnd"/>
    </w:p>
    <w:p w:rsidR="00270D67" w:rsidRDefault="00270D67"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2100 Elementarpädagogik, Schule und Gesellschaft</w:t>
      </w:r>
      <w:r>
        <w:rPr>
          <w:b/>
        </w:rPr>
        <w:br/>
        <w:t>Voranschlagstelle: 1-459505-7690-060 Förderwesen Frauen und Gleichstellung</w:t>
      </w:r>
    </w:p>
    <w:p w:rsidR="00566CE0" w:rsidRDefault="00566CE0" w:rsidP="00566CE0">
      <w:pPr>
        <w:pStyle w:val="Textkrper"/>
        <w:jc w:val="both"/>
        <w:rPr>
          <w:color w:val="000000"/>
          <w:u w:val="single"/>
        </w:rPr>
      </w:pPr>
      <w:r>
        <w:rPr>
          <w:u w:val="single"/>
        </w:rPr>
        <w:t>Situation und daraus entstehende Fragen:</w:t>
      </w:r>
    </w:p>
    <w:p w:rsidR="00566CE0" w:rsidRDefault="00AF763D" w:rsidP="00566CE0">
      <w:pPr>
        <w:pStyle w:val="Textkrper"/>
        <w:jc w:val="both"/>
        <w:rPr>
          <w:color w:val="000000"/>
          <w:u w:val="single"/>
        </w:rPr>
      </w:pPr>
      <w:r w:rsidRPr="00A967BF">
        <w:rPr>
          <w:u w:val="single"/>
        </w:rPr>
        <w:t>Egalitäre Rollenaufteilung</w:t>
      </w:r>
      <w:r w:rsidRPr="00AF763D">
        <w:t xml:space="preserve"> – Geschlechtergerechtigkeit ist ein Konzept der </w:t>
      </w:r>
      <w:proofErr w:type="gramStart"/>
      <w:r w:rsidRPr="00AF763D">
        <w:t>Chancen</w:t>
      </w:r>
      <w:r>
        <w:t xml:space="preserve">;  </w:t>
      </w:r>
      <w:r w:rsidR="00566CE0">
        <w:t>Die</w:t>
      </w:r>
      <w:proofErr w:type="gramEnd"/>
      <w:r w:rsidR="00566CE0">
        <w:t xml:space="preserve"> Themen Erwerbstätigkeit von Frauen, Teilzeitbeschäftigung, Bildung und ausbildungsadäquater Wiedereinstieg, horizontale und vertikale Segmentierung des Arbeitsmarktes und alternative Rollenmodelle sind relevant für eine aktive und moderne und gleichermaßen traditionelle Region wie Vorarlberg. </w:t>
      </w:r>
      <w:r w:rsidR="00566CE0">
        <w:br/>
      </w:r>
      <w:r w:rsidR="00566CE0">
        <w:rPr>
          <w:u w:val="single"/>
        </w:rPr>
        <w:t>Maßnahmen/Ziele:</w:t>
      </w:r>
    </w:p>
    <w:p w:rsidR="00566CE0" w:rsidRDefault="00566CE0" w:rsidP="001D7217">
      <w:pPr>
        <w:pStyle w:val="Textkrper"/>
      </w:pPr>
      <w:r>
        <w:t xml:space="preserve">Es wird </w:t>
      </w:r>
      <w:r w:rsidR="00270D67">
        <w:t xml:space="preserve">in den </w:t>
      </w:r>
      <w:r w:rsidR="001D7217">
        <w:t>kommende</w:t>
      </w:r>
      <w:r w:rsidR="00270D67">
        <w:t>n</w:t>
      </w:r>
      <w:r w:rsidR="001D7217">
        <w:t xml:space="preserve"> zwei bis drei Jahre</w:t>
      </w:r>
      <w:r w:rsidR="00270D67">
        <w:t>n</w:t>
      </w:r>
      <w:r w:rsidR="001D7217">
        <w:t xml:space="preserve"> </w:t>
      </w:r>
      <w:r>
        <w:t xml:space="preserve">ein Projekt durchgeführt, </w:t>
      </w:r>
      <w:r w:rsidR="00AF763D">
        <w:t>bei dem</w:t>
      </w:r>
      <w:r>
        <w:t xml:space="preserve"> sowohl Übungsräume für Paar</w:t>
      </w:r>
      <w:r w:rsidR="00AF763D">
        <w:t>e</w:t>
      </w:r>
      <w:r>
        <w:t xml:space="preserve"> als auch eine wissenschaftliche Begleitung/</w:t>
      </w:r>
      <w:r w:rsidR="00AF763D">
        <w:t>F</w:t>
      </w:r>
      <w:r>
        <w:t xml:space="preserve">orschung in Zusammenarbeit mit anderen Ländern </w:t>
      </w:r>
      <w:r w:rsidRPr="001D7217">
        <w:t>(Interreg-Projekt)</w:t>
      </w:r>
      <w:r w:rsidR="001D7217" w:rsidRPr="001D7217">
        <w:t xml:space="preserve"> </w:t>
      </w:r>
      <w:r w:rsidRPr="001D7217">
        <w:t>stattfinden.</w:t>
      </w:r>
      <w:r w:rsidRPr="001D7217">
        <w:br/>
      </w:r>
      <w:r>
        <w:rPr>
          <w:u w:val="single"/>
        </w:rPr>
        <w:t xml:space="preserve">Geplante Aufwendungen:  </w:t>
      </w:r>
      <w:r>
        <w:t>€ 5.000,--</w:t>
      </w:r>
    </w:p>
    <w:p w:rsidR="00566CE0" w:rsidRDefault="00566CE0"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2100 Elementarpädagogik, Schule und Gesellschaft</w:t>
      </w:r>
      <w:r>
        <w:rPr>
          <w:b/>
        </w:rPr>
        <w:br/>
        <w:t>Voranschlagstelle: 1-459509-7270-000 Aufträge an Dritte (Frauen)</w:t>
      </w:r>
    </w:p>
    <w:p w:rsidR="00566CE0" w:rsidRDefault="00566CE0" w:rsidP="00566CE0">
      <w:pPr>
        <w:pStyle w:val="Textkrper"/>
        <w:jc w:val="both"/>
        <w:rPr>
          <w:color w:val="000000"/>
          <w:u w:val="single"/>
        </w:rPr>
      </w:pPr>
      <w:r>
        <w:rPr>
          <w:u w:val="single"/>
        </w:rPr>
        <w:t>Situation und daraus entstehende Fragen:</w:t>
      </w:r>
    </w:p>
    <w:p w:rsidR="00480F52" w:rsidRDefault="00480F52" w:rsidP="00566CE0">
      <w:pPr>
        <w:pStyle w:val="Textkrper"/>
        <w:jc w:val="both"/>
        <w:rPr>
          <w:u w:val="single"/>
        </w:rPr>
      </w:pPr>
    </w:p>
    <w:p w:rsidR="00566CE0" w:rsidRDefault="00566CE0" w:rsidP="00566CE0">
      <w:pPr>
        <w:pStyle w:val="Textkrper"/>
        <w:jc w:val="both"/>
        <w:rPr>
          <w:color w:val="000000"/>
        </w:rPr>
      </w:pPr>
      <w:proofErr w:type="gramStart"/>
      <w:r w:rsidRPr="00270D67">
        <w:rPr>
          <w:u w:val="single"/>
        </w:rPr>
        <w:t>gender:impulstage</w:t>
      </w:r>
      <w:proofErr w:type="gramEnd"/>
      <w:r w:rsidR="00270D67">
        <w:rPr>
          <w:u w:val="single"/>
        </w:rPr>
        <w:t>:</w:t>
      </w:r>
      <w:r w:rsidR="0001409E">
        <w:t xml:space="preserve"> sie</w:t>
      </w:r>
      <w:r>
        <w:t xml:space="preserve"> geben Einblicke in die aktuelle Genderforschung der Jugendarbeit zu bestimmten Themen und setzen diese in Bezug zur Arbeit mit Mädchen und Jungen. Teilnehmende haben die Möglichkeit, mit Fachpersonen in Austausch zu treten, eigene Erfahrungen zu reflektieren und jugendgerechte Methoden auszuloten.</w:t>
      </w:r>
    </w:p>
    <w:p w:rsidR="00566CE0" w:rsidRDefault="00566CE0" w:rsidP="00566CE0">
      <w:pPr>
        <w:pStyle w:val="Textkrper"/>
        <w:jc w:val="both"/>
        <w:rPr>
          <w:u w:val="single"/>
        </w:rPr>
      </w:pPr>
      <w:r>
        <w:rPr>
          <w:u w:val="single"/>
        </w:rPr>
        <w:t xml:space="preserve">Maßnahmen/Ziele: </w:t>
      </w:r>
    </w:p>
    <w:p w:rsidR="00566CE0" w:rsidRDefault="00566CE0" w:rsidP="00566CE0">
      <w:pPr>
        <w:pStyle w:val="Textkrper"/>
        <w:jc w:val="both"/>
        <w:rPr>
          <w:color w:val="000000"/>
        </w:rPr>
      </w:pPr>
      <w:r>
        <w:t xml:space="preserve">Die </w:t>
      </w:r>
      <w:proofErr w:type="gramStart"/>
      <w:r>
        <w:t>gender:impulstage</w:t>
      </w:r>
      <w:proofErr w:type="gramEnd"/>
      <w:r>
        <w:t xml:space="preserve"> sollen Interesse am Thema wecken, der Vernetzung und dem Austausch dienen und die Wichtigkeit der geschlechtssensiblen Jugendarbeit thematisieren.</w:t>
      </w:r>
    </w:p>
    <w:p w:rsidR="00566CE0" w:rsidRDefault="00566CE0" w:rsidP="00566CE0">
      <w:pPr>
        <w:pStyle w:val="Textkrper"/>
        <w:jc w:val="both"/>
      </w:pPr>
      <w:r>
        <w:rPr>
          <w:u w:val="single"/>
        </w:rPr>
        <w:t>Geplante Aufwendungen:</w:t>
      </w:r>
      <w:r>
        <w:t xml:space="preserve"> € 9.</w:t>
      </w:r>
      <w:proofErr w:type="gramStart"/>
      <w:r>
        <w:t>600,--</w:t>
      </w:r>
      <w:proofErr w:type="gramEnd"/>
    </w:p>
    <w:p w:rsidR="00566CE0" w:rsidRDefault="00566CE0" w:rsidP="00566CE0">
      <w:pPr>
        <w:pStyle w:val="Textkrper"/>
        <w:jc w:val="both"/>
        <w:rPr>
          <w:color w:val="000000"/>
        </w:rPr>
      </w:pPr>
    </w:p>
    <w:p w:rsidR="00566CE0" w:rsidRDefault="0001409E" w:rsidP="00566CE0">
      <w:pPr>
        <w:pStyle w:val="Textkrper"/>
        <w:jc w:val="both"/>
        <w:rPr>
          <w:color w:val="000000"/>
        </w:rPr>
      </w:pPr>
      <w:r w:rsidRPr="00270D67">
        <w:rPr>
          <w:u w:val="single"/>
        </w:rPr>
        <w:t>Politiklehrgang für Frauen</w:t>
      </w:r>
      <w:r>
        <w:t xml:space="preserve"> „Fit für die Politik“: </w:t>
      </w:r>
      <w:r w:rsidR="00566CE0">
        <w:t xml:space="preserve">Der Bereich für Frauen und Gleichstellung Vorarlberg und das Amt für Soziale </w:t>
      </w:r>
      <w:proofErr w:type="gramStart"/>
      <w:r w:rsidR="00566CE0">
        <w:t>Dienste,  Fachbereich</w:t>
      </w:r>
      <w:proofErr w:type="gramEnd"/>
      <w:r w:rsidR="00566CE0">
        <w:t xml:space="preserve"> Chancengleichheit, in Liechtenstein führen gemeinsam diesen Lehrgang durch. </w:t>
      </w:r>
    </w:p>
    <w:p w:rsidR="00566CE0" w:rsidRDefault="00566CE0" w:rsidP="00566CE0">
      <w:pPr>
        <w:pStyle w:val="Textkrper"/>
        <w:jc w:val="both"/>
        <w:rPr>
          <w:u w:val="single"/>
        </w:rPr>
      </w:pPr>
      <w:r>
        <w:rPr>
          <w:u w:val="single"/>
        </w:rPr>
        <w:t xml:space="preserve">Maßnahmen/Ziele: </w:t>
      </w:r>
    </w:p>
    <w:p w:rsidR="00566CE0" w:rsidRDefault="00566CE0" w:rsidP="00566CE0">
      <w:pPr>
        <w:pStyle w:val="Textkrper"/>
        <w:jc w:val="both"/>
        <w:rPr>
          <w:color w:val="000000"/>
        </w:rPr>
      </w:pPr>
      <w:r>
        <w:t xml:space="preserve">Der Politiklehrgang motiviert und befähigt Frauen, ihre Anliegen und ihre Potenziale in politischen Gremien und in der Öffentlichkeit einzubringen. Folgende Module werden durchgeführt: Selbstmanagement; Gender und Diversity; Einführung in politische Strukturen und </w:t>
      </w:r>
      <w:proofErr w:type="spellStart"/>
      <w:r>
        <w:t>ind</w:t>
      </w:r>
      <w:proofErr w:type="spellEnd"/>
      <w:r>
        <w:t xml:space="preserve"> er Gemeindearbeit, Konfliktmanagement; Public Relations und Öffentlichkeitsarbeit.</w:t>
      </w:r>
    </w:p>
    <w:p w:rsidR="00566CE0" w:rsidRDefault="00566CE0" w:rsidP="00566CE0">
      <w:pPr>
        <w:pStyle w:val="Textkrper"/>
        <w:jc w:val="both"/>
      </w:pPr>
      <w:r>
        <w:rPr>
          <w:u w:val="single"/>
        </w:rPr>
        <w:t>Geplante Aufwendungen</w:t>
      </w:r>
      <w:r>
        <w:t>: € 17.</w:t>
      </w:r>
      <w:proofErr w:type="gramStart"/>
      <w:r>
        <w:t>000,--</w:t>
      </w:r>
      <w:proofErr w:type="gramEnd"/>
    </w:p>
    <w:p w:rsidR="00566CE0" w:rsidRDefault="00566CE0" w:rsidP="00566CE0">
      <w:pPr>
        <w:pStyle w:val="Textkrper"/>
        <w:jc w:val="both"/>
        <w:rPr>
          <w:color w:val="000000"/>
        </w:rPr>
      </w:pPr>
    </w:p>
    <w:p w:rsidR="00566CE0" w:rsidRDefault="0001409E" w:rsidP="00566CE0">
      <w:pPr>
        <w:pStyle w:val="Textkrper"/>
        <w:jc w:val="both"/>
        <w:rPr>
          <w:i/>
          <w:color w:val="000000"/>
        </w:rPr>
      </w:pPr>
      <w:r w:rsidRPr="00270D67">
        <w:rPr>
          <w:u w:val="single"/>
        </w:rPr>
        <w:t>Gleichstellungsbericht 2021</w:t>
      </w:r>
      <w:r>
        <w:t xml:space="preserve">: </w:t>
      </w:r>
      <w:r w:rsidR="00566CE0">
        <w:t xml:space="preserve">Der nächste Gleichstellungsbericht 2021 wird, gemeinsam mit AK und ÖGB, vorbereitet. Die letzten drei Berichte zur Situation von Frauen </w:t>
      </w:r>
      <w:proofErr w:type="gramStart"/>
      <w:r w:rsidR="00566CE0">
        <w:t>und  Männer</w:t>
      </w:r>
      <w:proofErr w:type="gramEnd"/>
      <w:r w:rsidR="00566CE0">
        <w:t xml:space="preserve"> sind in Abständen von drei Jahren publiziert worden. Der Gleichstellungsbericht 2021 wird zusätzlich finanziert durch ESF-Gelder, welches eine Repräsentativerhebung bei Vorarlbergerinnen und Vorarlbergern möglich macht. Hier geht es vor allem um Existenzsicherung der </w:t>
      </w:r>
      <w:proofErr w:type="gramStart"/>
      <w:r w:rsidR="00566CE0">
        <w:t>Frauen  in</w:t>
      </w:r>
      <w:proofErr w:type="gramEnd"/>
      <w:r w:rsidR="00566CE0">
        <w:t xml:space="preserve"> Verbindung mit bezahlter und unbezahlter Arbeit. </w:t>
      </w:r>
    </w:p>
    <w:p w:rsidR="00566CE0" w:rsidRDefault="00566CE0" w:rsidP="00566CE0">
      <w:pPr>
        <w:pStyle w:val="Textkrper"/>
        <w:jc w:val="both"/>
      </w:pPr>
      <w:r>
        <w:rPr>
          <w:u w:val="single"/>
        </w:rPr>
        <w:t>Geplante Aufwendungen:</w:t>
      </w:r>
      <w:r>
        <w:t xml:space="preserve"> € 12.</w:t>
      </w:r>
      <w:proofErr w:type="gramStart"/>
      <w:r>
        <w:t>000,--</w:t>
      </w:r>
      <w:proofErr w:type="gramEnd"/>
    </w:p>
    <w:p w:rsidR="00566CE0" w:rsidRDefault="00566CE0" w:rsidP="00566CE0">
      <w:pPr>
        <w:pStyle w:val="Textkrper"/>
        <w:jc w:val="both"/>
        <w:rPr>
          <w:color w:val="000000"/>
        </w:rPr>
      </w:pPr>
    </w:p>
    <w:p w:rsidR="00566CE0" w:rsidRDefault="0001409E" w:rsidP="00566CE0">
      <w:pPr>
        <w:pStyle w:val="Textkrper"/>
        <w:jc w:val="both"/>
        <w:rPr>
          <w:color w:val="000000"/>
        </w:rPr>
      </w:pPr>
      <w:r w:rsidRPr="00270D67">
        <w:rPr>
          <w:u w:val="single"/>
        </w:rPr>
        <w:t>Regionaler Aktionsplan für die Gleichstellung von Frauen und Männern in Vorarlberg 2019 – 2023</w:t>
      </w:r>
      <w:r>
        <w:t>:</w:t>
      </w:r>
      <w:r w:rsidR="00A967BF">
        <w:br/>
        <w:t xml:space="preserve">Der regionale Aktionsplan (RAP) </w:t>
      </w:r>
      <w:r w:rsidR="00566CE0">
        <w:t>ist eines der drei wic</w:t>
      </w:r>
      <w:r w:rsidR="00A967BF">
        <w:t xml:space="preserve">htigen Steuerungsinstrumente des Funktionsbereichs Frauen und Gleichstellung und entwickelt Maßnahmen  für mehr </w:t>
      </w:r>
      <w:r w:rsidR="00566CE0">
        <w:t>Gleichstellung von Frauen und Männern in Vorarlberg</w:t>
      </w:r>
      <w:r w:rsidR="00AE5FAA">
        <w:t xml:space="preserve">. </w:t>
      </w:r>
      <w:proofErr w:type="gramStart"/>
      <w:r w:rsidR="00566CE0">
        <w:t>Auf  Basis</w:t>
      </w:r>
      <w:proofErr w:type="gramEnd"/>
      <w:r w:rsidR="00566CE0">
        <w:t xml:space="preserve"> von 30 Gleichstellungsindikatoren, die jährlich aktualisiert werden, haben Expertinnen und Experten aus Sozialpartnerschaft und Vorarlberger Organisationen und Institutionen Maßnahmen für folgende Handlungsfelder erarbeitet:</w:t>
      </w:r>
    </w:p>
    <w:p w:rsidR="00566CE0" w:rsidRDefault="00566CE0" w:rsidP="00566CE0">
      <w:pPr>
        <w:pStyle w:val="Textkrper"/>
        <w:jc w:val="both"/>
      </w:pPr>
      <w:r>
        <w:t xml:space="preserve">Ausbildung, </w:t>
      </w:r>
      <w:proofErr w:type="gramStart"/>
      <w:r>
        <w:t>Erwerbsarbeit,  Politische</w:t>
      </w:r>
      <w:proofErr w:type="gramEnd"/>
      <w:r>
        <w:t xml:space="preserve"> Partizipation, Hausarbeit und Kinderbetreuung</w:t>
      </w:r>
    </w:p>
    <w:p w:rsidR="00566CE0" w:rsidRDefault="00566CE0" w:rsidP="00566CE0">
      <w:pPr>
        <w:pStyle w:val="Textkrper"/>
        <w:jc w:val="both"/>
        <w:rPr>
          <w:u w:val="single"/>
        </w:rPr>
      </w:pPr>
      <w:r>
        <w:rPr>
          <w:u w:val="single"/>
        </w:rPr>
        <w:t xml:space="preserve">Maßnahmen/Ziele: </w:t>
      </w:r>
    </w:p>
    <w:p w:rsidR="00566CE0" w:rsidRDefault="00566CE0" w:rsidP="00566CE0">
      <w:pPr>
        <w:pStyle w:val="Textkrper"/>
        <w:jc w:val="both"/>
        <w:rPr>
          <w:color w:val="000000"/>
        </w:rPr>
      </w:pPr>
      <w:r>
        <w:t xml:space="preserve">Einmal jährlich gibt es eine Klausur mit den Stakeholdern. 2020 und das Folgejahr wird die Strategie und Schwerpunktsetzung vom Büro für Bürgerbeteiligung (ehemals ZUB) begleitet und </w:t>
      </w:r>
      <w:proofErr w:type="gramStart"/>
      <w:r>
        <w:t>weiter entwickelt</w:t>
      </w:r>
      <w:proofErr w:type="gramEnd"/>
      <w:r>
        <w:t xml:space="preserve">. </w:t>
      </w:r>
    </w:p>
    <w:p w:rsidR="00566CE0" w:rsidRDefault="00566CE0" w:rsidP="00566CE0">
      <w:pPr>
        <w:pStyle w:val="Textkrper"/>
        <w:jc w:val="both"/>
        <w:rPr>
          <w:color w:val="000000"/>
        </w:rPr>
      </w:pPr>
      <w:r>
        <w:rPr>
          <w:u w:val="single"/>
        </w:rPr>
        <w:t>Geplante Aufwendungen</w:t>
      </w:r>
      <w:r>
        <w:t>: € 8.</w:t>
      </w:r>
      <w:proofErr w:type="gramStart"/>
      <w:r>
        <w:t>000,--</w:t>
      </w:r>
      <w:proofErr w:type="gramEnd"/>
    </w:p>
    <w:p w:rsidR="00566CE0" w:rsidRDefault="00566CE0"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2100 Elementarpädagogik, Schule und Gesellschaft</w:t>
      </w:r>
      <w:r>
        <w:rPr>
          <w:b/>
        </w:rPr>
        <w:br/>
        <w:t>Voranschlagstelle: 1-469005-7670-052 Familienförderung an priv</w:t>
      </w:r>
      <w:r w:rsidR="00270D67">
        <w:rPr>
          <w:b/>
        </w:rPr>
        <w:t xml:space="preserve">ate </w:t>
      </w:r>
      <w:r>
        <w:rPr>
          <w:b/>
        </w:rPr>
        <w:t>gem</w:t>
      </w:r>
      <w:r w:rsidR="00270D67">
        <w:rPr>
          <w:b/>
        </w:rPr>
        <w:t xml:space="preserve">einnützige </w:t>
      </w:r>
      <w:r>
        <w:rPr>
          <w:b/>
        </w:rPr>
        <w:t>Einrichtungen</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rsidRPr="0001409E">
        <w:t>Projekt Vater sein</w:t>
      </w:r>
      <w:r w:rsidR="0001409E">
        <w:t xml:space="preserve">: Es </w:t>
      </w:r>
      <w:r w:rsidRPr="0001409E">
        <w:t>wird 2020 und 2021 fortgeführt</w:t>
      </w:r>
      <w:r w:rsidR="0001409E">
        <w:t xml:space="preserve">. </w:t>
      </w:r>
      <w:r>
        <w:t>Der Vorarlberger Familienverband ist seit 1954 die größte Interessensvertretung für Familien in Vorarlberg. Er baut auf rund 7.000 Mitgliedsfamilien und mehr als 400 ehrenamtliche Mitarbeiter/innen auf. Das Projekt Vater sein! besteht aus einem großen Netzwerk an Partnern, die sich gemeinsam für ein aktives und bewusstes Vatersein in Vorarlberg einsetzen. Väter sind für die Entwicklung ihrer Kinder genauso wichtig wie Mütter. Daher will der Familienverband mit Angeboten dafür sorgen, dass Väter mit ihren Kindern Zeit verbringen. Das Projekt soll einen Beitrag zur Identitätsfindung von Männern in ihrer Vaterrolle leisten, die Väterbeteiligung in der Kindererziehung erhöhen und die Bedeutung des Vaters für die Kindesentwicklung in das allgemeine Bewusstsein bringen.</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Geplant ist, dass bis zu 50 Väter-Veranstaltungen in Ortsverbänden, Kindergärten und Betrieben stattfinden. Veranstaltungen, die im Rahmen des Projekts organisiert werden, sollten immer gemeinsame Aktivitäten von Vätern mit ihren Kindern und der Austausch der Väter untereinander</w:t>
      </w:r>
      <w:r w:rsidR="000378BB">
        <w:t xml:space="preserve"> beinhalten.</w:t>
      </w:r>
    </w:p>
    <w:p w:rsidR="00566CE0" w:rsidRDefault="00566CE0" w:rsidP="00566CE0">
      <w:pPr>
        <w:pStyle w:val="Textkrper"/>
        <w:jc w:val="both"/>
        <w:rPr>
          <w:color w:val="000000"/>
        </w:rPr>
      </w:pPr>
      <w:r>
        <w:rPr>
          <w:u w:val="single"/>
        </w:rPr>
        <w:t xml:space="preserve">Geplante Aufwendungen: </w:t>
      </w:r>
      <w:r w:rsidR="000378BB">
        <w:t>€ 20.</w:t>
      </w:r>
      <w:proofErr w:type="gramStart"/>
      <w:r w:rsidR="000378BB">
        <w:t>000,--</w:t>
      </w:r>
      <w:proofErr w:type="gramEnd"/>
    </w:p>
    <w:p w:rsidR="00566CE0" w:rsidRDefault="00566CE0"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2100 Elementarpädagogik, Schule und Gesellschaft</w:t>
      </w:r>
      <w:r>
        <w:rPr>
          <w:b/>
        </w:rPr>
        <w:br/>
        <w:t>Voranschlagstelle: 1-469009-7280-000 Aufträge an Dritte (Familie)</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rsidRPr="0001409E">
        <w:t>Ausgezeichneter familienfreundlicher Betrieb</w:t>
      </w:r>
      <w:r w:rsidR="0001409E">
        <w:t xml:space="preserve">: </w:t>
      </w:r>
      <w:r>
        <w:t xml:space="preserve">Die Initiative die im Zwei-Jahres-Rhythmus Vorarlberger Unternehmen vor den Vorhang holt, die ihren Beschäftigten familienbewusste Maßnahmen zur besseren Vereinbarkeit von Familie und Beruf bieten, ist über die Jahre eine bekannte Marke geworden. 115 Unternehmen wurden mit dem Gütesiegel 2020/2021 ausgezeichnet. Besonders erfreulich ist, dass ein überwiegender Anteil der Betriebe, die sich einer </w:t>
      </w:r>
      <w:proofErr w:type="spellStart"/>
      <w:r>
        <w:t>Rezertifizierung</w:t>
      </w:r>
      <w:proofErr w:type="spellEnd"/>
      <w:r>
        <w:t xml:space="preserve"> stellen, ihre familienfreundliche Unternehmenskultur nachweislich verbessert haben. Vielen Führungskräften ist bewusst, dass die Mitarbeitenden das höchste Gut sind. Je wohler sich die Belegschaft fühlt, umso höher ist die Leistungsfähigkeit und -bereitschaft.</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 xml:space="preserve">Angebote wie mobiles Arbeiten, um sich Wegzeiten ersparen zu können, Teilzeitmodelle auch für Männer, Rücksichtnahme bei der Diensteinteilung auf die Freizeit der Partnerin oder des Partners, Gleittage für Mitarbeitende, die eine All-in-Vereinbarung haben, geteilte Karenzen, Oma- und </w:t>
      </w:r>
      <w:proofErr w:type="spellStart"/>
      <w:r>
        <w:t>Opatage</w:t>
      </w:r>
      <w:proofErr w:type="spellEnd"/>
      <w:r>
        <w:t>, gehören in vielen Unternehmen zum betrieblicher Alltag und zeigen, dass Familienfreundlichkeit weit über die Unterstützung in der Kinderbetreuung geht.</w:t>
      </w:r>
    </w:p>
    <w:p w:rsidR="00566CE0" w:rsidRDefault="00566CE0" w:rsidP="00566CE0">
      <w:pPr>
        <w:pStyle w:val="Textkrper"/>
        <w:jc w:val="both"/>
        <w:rPr>
          <w:color w:val="000000"/>
        </w:rPr>
      </w:pPr>
      <w:r>
        <w:rPr>
          <w:u w:val="single"/>
        </w:rPr>
        <w:t>Geplante Aufwendungen:</w:t>
      </w:r>
      <w:r w:rsidRPr="000378BB">
        <w:t xml:space="preserve"> </w:t>
      </w:r>
      <w:r w:rsidRPr="00E07D71">
        <w:t>€</w:t>
      </w:r>
      <w:r w:rsidR="000378BB">
        <w:t xml:space="preserve"> 80.</w:t>
      </w:r>
      <w:proofErr w:type="gramStart"/>
      <w:r w:rsidR="000378BB">
        <w:t>000,--</w:t>
      </w:r>
      <w:proofErr w:type="gramEnd"/>
    </w:p>
    <w:p w:rsidR="00566CE0" w:rsidRDefault="00566CE0"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2500 Wissenschaft und Weiterbildung</w:t>
      </w:r>
      <w:r>
        <w:rPr>
          <w:b/>
        </w:rPr>
        <w:br/>
        <w:t>Voranschlagstelle: 1-272005-7670-061 Förderung von Volksbildungsheimen</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 xml:space="preserve">Aus dieser </w:t>
      </w:r>
      <w:r w:rsidR="00AF763D">
        <w:t>Voranschlagstelle</w:t>
      </w:r>
      <w:r>
        <w:t xml:space="preserve"> werden die Bildungsprogramme der Bildungshäuser Arbogast, Batschuns und Bezau gefördert. Im Jahr 2019 nahmen 12.124 Frauen und 5.211 Männer an den Bildungsangeboten der Bildungshäuser teil; der Anteil Frauen/Männer bei den pädagogischen Mitarbeitenden belief sich in VZÄ auf 11,48 Frauen und 2,7 Männer.   </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 xml:space="preserve">Die Anzahl der weiblichen bzw. männlichen Teilnehmenden kann durch den Landesbeitrag nur bedingt beeinflusst werden. Die Bildungshäuser bieten teilweise spezielle Kurse für Frauen und Männer an. </w:t>
      </w:r>
    </w:p>
    <w:p w:rsidR="00566CE0" w:rsidRDefault="00566CE0" w:rsidP="00566CE0">
      <w:pPr>
        <w:pStyle w:val="Textkrper"/>
        <w:jc w:val="both"/>
        <w:rPr>
          <w:color w:val="000000"/>
        </w:rPr>
      </w:pPr>
      <w:r>
        <w:t>Mit der Broschüre „Geschlechter- und diversitätsgerechte Erwachsenenbildung im Land Vorarlberg“ erhalten die Mitarbeitenden der Erwachsenenbildungseinrichtungen eine Orientierungshilfe etwa bei der Entwicklung und Planung von Bildungsangeboten, aber auch in der Personalorganisation (Führungskräfte, Mitarbeitende und Referierende). Ein regelmäßiger Austausch zum Thema findet in den</w:t>
      </w:r>
      <w:r w:rsidR="000378BB">
        <w:t xml:space="preserve"> Sitzungen der ARGE EB statt. </w:t>
      </w:r>
    </w:p>
    <w:p w:rsidR="00566CE0" w:rsidRDefault="00566CE0" w:rsidP="00566CE0">
      <w:pPr>
        <w:pStyle w:val="Textkrper"/>
        <w:jc w:val="both"/>
      </w:pPr>
      <w:r>
        <w:rPr>
          <w:u w:val="single"/>
        </w:rPr>
        <w:t>Geplante Aufwendungen</w:t>
      </w:r>
      <w:r w:rsidRPr="0007478E">
        <w:t>: € 214</w:t>
      </w:r>
      <w:r w:rsidR="0001409E">
        <w:t>.</w:t>
      </w:r>
      <w:proofErr w:type="gramStart"/>
      <w:r w:rsidR="0001409E">
        <w:t>200,--</w:t>
      </w:r>
      <w:proofErr w:type="gramEnd"/>
    </w:p>
    <w:p w:rsidR="0001409E" w:rsidRDefault="0001409E"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2500 Wissenschaft und Weiterbildung</w:t>
      </w:r>
      <w:r>
        <w:rPr>
          <w:b/>
        </w:rPr>
        <w:br/>
        <w:t>Voranschlagstelle: 1-273109-7297-000 Sonstige Aufwendungen (Fortbildung, Leseoffensive, etc.)</w:t>
      </w:r>
    </w:p>
    <w:p w:rsidR="00566CE0" w:rsidRDefault="00566CE0" w:rsidP="00566CE0">
      <w:pPr>
        <w:pStyle w:val="Textkrper"/>
        <w:jc w:val="both"/>
        <w:rPr>
          <w:color w:val="000000"/>
        </w:rPr>
      </w:pPr>
      <w:r>
        <w:rPr>
          <w:u w:val="single"/>
        </w:rPr>
        <w:t xml:space="preserve">Situation und daraus entstehende Fragen: </w:t>
      </w:r>
    </w:p>
    <w:p w:rsidR="00566CE0" w:rsidRDefault="00566CE0" w:rsidP="00566CE0">
      <w:pPr>
        <w:pStyle w:val="Textkrper"/>
        <w:jc w:val="both"/>
        <w:rPr>
          <w:color w:val="000000"/>
        </w:rPr>
      </w:pPr>
      <w:r>
        <w:t xml:space="preserve">Im Rahmen des Genderbudgets ist die Mint-Initiative in Bibliotheken als ein Förderschwerpunkt vorgesehen. </w:t>
      </w:r>
    </w:p>
    <w:p w:rsidR="00566CE0" w:rsidRDefault="00566CE0" w:rsidP="00566CE0">
      <w:pPr>
        <w:pStyle w:val="Textkrper"/>
        <w:jc w:val="both"/>
        <w:rPr>
          <w:color w:val="000000"/>
          <w:u w:val="single"/>
        </w:rPr>
      </w:pPr>
      <w:r>
        <w:rPr>
          <w:u w:val="single"/>
        </w:rPr>
        <w:t xml:space="preserve">Maßnahmen/Ziele: </w:t>
      </w:r>
    </w:p>
    <w:p w:rsidR="00566CE0" w:rsidRDefault="00566CE0" w:rsidP="00566CE0">
      <w:pPr>
        <w:pStyle w:val="Textkrper"/>
        <w:jc w:val="both"/>
        <w:rPr>
          <w:color w:val="000000"/>
        </w:rPr>
      </w:pPr>
      <w:r>
        <w:t xml:space="preserve">Die Vorarlberger MINT-Förderstrategie sieht umfangreiche Sensibilisierungsmaßnahmen und Aktivitäten vor. Besonders Kindergartenkinder und Volksschulkinder, insbesondere Mädchen sollen für MINT begeistert werden. Die Öffentlichen Bibliotheken wollen daher den bereits 2020 begonnenen MINT-Schwerpunkt weiterführen und verstärkt mit Kindergärten und Schulen kooperieren. Geplant ist auch, dass die Landesbüchereistelle mehrere MINT-Medienpakete für den Verleih angekauft. </w:t>
      </w:r>
    </w:p>
    <w:p w:rsidR="00566CE0" w:rsidRDefault="00566CE0" w:rsidP="00566CE0">
      <w:pPr>
        <w:pStyle w:val="Textkrper"/>
        <w:jc w:val="both"/>
        <w:rPr>
          <w:color w:val="000000"/>
        </w:rPr>
      </w:pPr>
      <w:r>
        <w:rPr>
          <w:u w:val="single"/>
        </w:rPr>
        <w:t>Geplante Aufwendungen</w:t>
      </w:r>
      <w:r w:rsidRPr="0001409E">
        <w:t>: €</w:t>
      </w:r>
      <w:r w:rsidR="0001409E">
        <w:t xml:space="preserve"> </w:t>
      </w:r>
      <w:r w:rsidR="00712DB3">
        <w:t>4.</w:t>
      </w:r>
      <w:proofErr w:type="gramStart"/>
      <w:r w:rsidR="00712DB3">
        <w:t>000,--</w:t>
      </w:r>
      <w:proofErr w:type="gramEnd"/>
    </w:p>
    <w:p w:rsidR="00566CE0" w:rsidRDefault="00566CE0" w:rsidP="00566CE0">
      <w:pPr>
        <w:pStyle w:val="Textkrper"/>
        <w:jc w:val="both"/>
        <w:rPr>
          <w:color w:val="000000"/>
        </w:rPr>
      </w:pPr>
      <w:r>
        <w:t xml:space="preserve">Der Schwerpunkt von 2020, die stärkere Bindung von Jugendlichen an Öffentliche Bibliotheken, soll auch 2021 weitergeführt werden. So können sich Bibliotheken als 3. Orte für Jugendliche positionieren, Orte in denen sich Jugendliche gerne aufhalten und ihre </w:t>
      </w:r>
      <w:proofErr w:type="spellStart"/>
      <w:r>
        <w:t>Freitzeit</w:t>
      </w:r>
      <w:proofErr w:type="spellEnd"/>
      <w:r>
        <w:t xml:space="preserve"> sinnvoll verbringen. Dadurch sollen vor allem männliche Jugendliche angesprochen werden.</w:t>
      </w:r>
    </w:p>
    <w:p w:rsidR="00566CE0" w:rsidRDefault="00566CE0" w:rsidP="00566CE0">
      <w:pPr>
        <w:pStyle w:val="Textkrper"/>
        <w:jc w:val="both"/>
        <w:rPr>
          <w:color w:val="000000"/>
        </w:rPr>
      </w:pPr>
      <w:r>
        <w:rPr>
          <w:u w:val="single"/>
        </w:rPr>
        <w:t>Geplante Aufwendungen</w:t>
      </w:r>
      <w:r>
        <w:t>: €</w:t>
      </w:r>
      <w:r w:rsidR="0001409E">
        <w:t xml:space="preserve"> </w:t>
      </w:r>
      <w:r w:rsidR="00712DB3">
        <w:t>8.</w:t>
      </w:r>
      <w:proofErr w:type="gramStart"/>
      <w:r w:rsidR="00712DB3">
        <w:t>000,--</w:t>
      </w:r>
      <w:proofErr w:type="gramEnd"/>
    </w:p>
    <w:p w:rsidR="00566CE0" w:rsidRDefault="00566CE0"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2500 Wissenschaft und Weiterbildung</w:t>
      </w:r>
      <w:r>
        <w:rPr>
          <w:b/>
        </w:rPr>
        <w:br/>
        <w:t>Voranschlagstelle: 1-279005-7670-064 Förderung sonst</w:t>
      </w:r>
      <w:r w:rsidR="000135AD">
        <w:rPr>
          <w:b/>
        </w:rPr>
        <w:t xml:space="preserve">iger </w:t>
      </w:r>
      <w:r>
        <w:rPr>
          <w:b/>
        </w:rPr>
        <w:t>Maßnahmen priv</w:t>
      </w:r>
      <w:r w:rsidR="000135AD">
        <w:rPr>
          <w:b/>
        </w:rPr>
        <w:t>ater</w:t>
      </w:r>
      <w:r w:rsidR="000373B6">
        <w:rPr>
          <w:b/>
        </w:rPr>
        <w:t xml:space="preserve"> </w:t>
      </w:r>
      <w:r>
        <w:rPr>
          <w:b/>
        </w:rPr>
        <w:t>Vereinig</w:t>
      </w:r>
      <w:r w:rsidR="000135AD">
        <w:rPr>
          <w:b/>
        </w:rPr>
        <w:t>ungen</w:t>
      </w:r>
      <w:r>
        <w:rPr>
          <w:b/>
        </w:rPr>
        <w:t xml:space="preserve"> z</w:t>
      </w:r>
      <w:r w:rsidR="000135AD">
        <w:rPr>
          <w:b/>
        </w:rPr>
        <w:t>ur</w:t>
      </w:r>
      <w:r>
        <w:rPr>
          <w:b/>
        </w:rPr>
        <w:t xml:space="preserve"> Erwachsenenbild</w:t>
      </w:r>
      <w:r w:rsidR="000135AD">
        <w:rPr>
          <w:b/>
        </w:rPr>
        <w:t>un</w:t>
      </w:r>
      <w:r>
        <w:rPr>
          <w:b/>
        </w:rPr>
        <w:t>g</w:t>
      </w:r>
    </w:p>
    <w:p w:rsidR="00566CE0" w:rsidRDefault="00566CE0" w:rsidP="00566CE0">
      <w:pPr>
        <w:pStyle w:val="Textkrper"/>
        <w:jc w:val="both"/>
        <w:rPr>
          <w:color w:val="000000"/>
          <w:u w:val="single"/>
        </w:rPr>
      </w:pPr>
      <w:r>
        <w:rPr>
          <w:u w:val="single"/>
        </w:rPr>
        <w:t>Situation und daraus entstehende Fragen:</w:t>
      </w:r>
    </w:p>
    <w:p w:rsidR="00566CE0" w:rsidRDefault="00E07D71" w:rsidP="00566CE0">
      <w:pPr>
        <w:pStyle w:val="Textkrper"/>
        <w:jc w:val="both"/>
        <w:rPr>
          <w:color w:val="000000"/>
        </w:rPr>
      </w:pPr>
      <w:r w:rsidRPr="00270D67">
        <w:rPr>
          <w:u w:val="single"/>
        </w:rPr>
        <w:t>Inklusive Erwachsenenbildung:</w:t>
      </w:r>
      <w:r>
        <w:t xml:space="preserve"> </w:t>
      </w:r>
      <w:r w:rsidR="00566CE0">
        <w:t>Die UN-Behindertenkonvention beinhaltet in Artikel 24 das Recht auf Bildung von Menschen mit Behinderungen. Es muss sichergestellt werden, dass Menschen mit Behinderungen ohne Diskriminierung und gleichberechtigt Zugang zur Erwachsenenbildung und lebenslangem Lernen haben.</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 xml:space="preserve">Die Inklusive Volkshochschule Götzis und die Akademie der Lebenshilfe Vorarlberg bieten spezielle Bildungsangebote für Menschen mit (und ohne) Behinderungen an. Die Einrichtungen greifen mit ihren Kursangeboten relevante und aktuelle Themen auf und vermeiden </w:t>
      </w:r>
      <w:proofErr w:type="spellStart"/>
      <w:r>
        <w:t>Doppelgleisigkeiten</w:t>
      </w:r>
      <w:proofErr w:type="spellEnd"/>
      <w:r>
        <w:t xml:space="preserve"> durch Abstimmung der Kursprogramme. Mit der Landesförderung wird eine Teilnahme an den Kursangeboten zu sozial verträglichen Tarifen sowie barrierefreies Informationsmaterial ermöglicht und somit der Zugang zu Erwachsenenbildung und lebenslangem Lernen erleichtert.</w:t>
      </w:r>
    </w:p>
    <w:p w:rsidR="00566CE0" w:rsidRDefault="00566CE0" w:rsidP="00566CE0">
      <w:pPr>
        <w:pStyle w:val="Textkrper"/>
        <w:jc w:val="both"/>
        <w:rPr>
          <w:color w:val="000000"/>
        </w:rPr>
      </w:pPr>
      <w:r>
        <w:rPr>
          <w:u w:val="single"/>
        </w:rPr>
        <w:t>Geplante Aufwendungen</w:t>
      </w:r>
      <w:r>
        <w:t>: €</w:t>
      </w:r>
      <w:r w:rsidR="0001409E">
        <w:t xml:space="preserve"> </w:t>
      </w:r>
      <w:r w:rsidR="00712DB3">
        <w:t>7.</w:t>
      </w:r>
      <w:proofErr w:type="gramStart"/>
      <w:r w:rsidR="00712DB3">
        <w:t>000,--</w:t>
      </w:r>
      <w:proofErr w:type="gramEnd"/>
    </w:p>
    <w:p w:rsidR="0001409E" w:rsidRPr="000378BB" w:rsidRDefault="0001409E" w:rsidP="00566CE0">
      <w:pPr>
        <w:pStyle w:val="Textkrper"/>
        <w:jc w:val="both"/>
        <w:rPr>
          <w:color w:val="000000"/>
          <w:szCs w:val="22"/>
        </w:rPr>
      </w:pPr>
    </w:p>
    <w:p w:rsidR="00566CE0" w:rsidRDefault="00E07D71" w:rsidP="00566CE0">
      <w:pPr>
        <w:pStyle w:val="Textkrper"/>
        <w:jc w:val="both"/>
        <w:rPr>
          <w:color w:val="000000"/>
        </w:rPr>
      </w:pPr>
      <w:r w:rsidRPr="00270D67">
        <w:rPr>
          <w:u w:val="single"/>
        </w:rPr>
        <w:t>MINT-Strategie Vorarlberg:</w:t>
      </w:r>
      <w:r>
        <w:t xml:space="preserve"> </w:t>
      </w:r>
      <w:r w:rsidR="00566CE0">
        <w:t>Im Rahmen der 2019 beschlossenen MINT- Strategie Vorarlberg sollen regionale, naturwissenschaftlich -technische Netzwerke aufgebaut und gefördert werden.</w:t>
      </w:r>
    </w:p>
    <w:p w:rsidR="00566CE0" w:rsidRDefault="00566CE0" w:rsidP="00566CE0">
      <w:pPr>
        <w:pStyle w:val="Textkrper"/>
        <w:jc w:val="both"/>
        <w:rPr>
          <w:color w:val="000000"/>
          <w:u w:val="single"/>
        </w:rPr>
      </w:pPr>
      <w:r>
        <w:rPr>
          <w:u w:val="single"/>
        </w:rPr>
        <w:t xml:space="preserve">Maßnahmen/Ziele: </w:t>
      </w:r>
    </w:p>
    <w:p w:rsidR="00566CE0" w:rsidRDefault="00566CE0" w:rsidP="00566CE0">
      <w:pPr>
        <w:pStyle w:val="Textkrper"/>
        <w:jc w:val="both"/>
        <w:rPr>
          <w:color w:val="000000"/>
        </w:rPr>
      </w:pPr>
      <w:r>
        <w:t>Durch einen landesweiten Förderwettbewerb sollen, entsprechend den acht Bildungsregionen, langfristig angelegte Netzwerke aufgebaut werden, die Kinder, Jugendliche und junge Erwachsene für Mathematik, Informatik, Naturwissenschaft und Technik begeistern und für eine Ausbildung (Lehre, Schule, Studium) in dem Bereich motivieren. Bei der Projektausschreibung und der Auswahl wird ein besonderer Fokus auf spezifische Angebote für Mädchen und junge Frauen gelegt.</w:t>
      </w:r>
    </w:p>
    <w:p w:rsidR="00566CE0" w:rsidRDefault="00566CE0" w:rsidP="00566CE0">
      <w:pPr>
        <w:pStyle w:val="Textkrper"/>
        <w:jc w:val="both"/>
        <w:rPr>
          <w:color w:val="000000"/>
        </w:rPr>
      </w:pPr>
      <w:r>
        <w:rPr>
          <w:u w:val="single"/>
        </w:rPr>
        <w:t>Geplante Aufwendungen</w:t>
      </w:r>
      <w:r>
        <w:t>: €</w:t>
      </w:r>
      <w:r w:rsidR="00E07D71">
        <w:t xml:space="preserve"> </w:t>
      </w:r>
      <w:r w:rsidR="0001409E">
        <w:t>100.</w:t>
      </w:r>
      <w:proofErr w:type="gramStart"/>
      <w:r w:rsidR="0001409E">
        <w:t>000,--</w:t>
      </w:r>
      <w:proofErr w:type="gramEnd"/>
    </w:p>
    <w:p w:rsidR="00566CE0" w:rsidRDefault="00566CE0" w:rsidP="00566CE0">
      <w:pPr>
        <w:pStyle w:val="Textkrper"/>
        <w:jc w:val="both"/>
        <w:rPr>
          <w:color w:val="000000"/>
        </w:rPr>
      </w:pPr>
    </w:p>
    <w:p w:rsidR="00566CE0" w:rsidRDefault="00E07D71" w:rsidP="00566CE0">
      <w:pPr>
        <w:pStyle w:val="Textkrper"/>
        <w:jc w:val="both"/>
        <w:rPr>
          <w:color w:val="000000"/>
        </w:rPr>
      </w:pPr>
      <w:r w:rsidRPr="00270D67">
        <w:rPr>
          <w:u w:val="single"/>
        </w:rPr>
        <w:t>Gender Mainstreaming und Diversity:</w:t>
      </w:r>
      <w:r>
        <w:t xml:space="preserve"> </w:t>
      </w:r>
      <w:r w:rsidR="00270D67">
        <w:t>Dieser</w:t>
      </w:r>
      <w:r w:rsidR="00566CE0">
        <w:t xml:space="preserve"> Förderschwerpunkt soll die Erwachsenenbildungseinrichtungen dahingehend sensibilisieren und Anreize schaffen dies in der Angebotsplanung zu berücksichtigen</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 xml:space="preserve">2020 wurde in Zusammenarbeit mit der Abt. IIa Funktionsbereich Frauen und Gleichstellung der Lehrgang „Gender (er-)leben </w:t>
      </w:r>
      <w:proofErr w:type="spellStart"/>
      <w:r>
        <w:t>Intersektionalität</w:t>
      </w:r>
      <w:proofErr w:type="spellEnd"/>
      <w:r>
        <w:t xml:space="preserve"> (er-)kennen </w:t>
      </w:r>
      <w:proofErr w:type="spellStart"/>
      <w:r>
        <w:t>Diversity</w:t>
      </w:r>
      <w:proofErr w:type="spellEnd"/>
      <w:r>
        <w:t xml:space="preserve"> (er-)fahren)“ für Personen, die in Wirtschafts- und Sozialberufen tätig sind angeboten (Abschluss 2021). Das Interesse daran war groß. Um das Bewusstsein für die Genderthematik zu schärfen, werden zudem spezielle Fortbildungen zum Thema Gender und Diversität für Trainerinnen und Trainer der Erwachsenenbildung unterstützt.</w:t>
      </w:r>
    </w:p>
    <w:p w:rsidR="00566CE0" w:rsidRDefault="00566CE0" w:rsidP="00566CE0">
      <w:pPr>
        <w:pStyle w:val="Textkrper"/>
        <w:jc w:val="both"/>
        <w:rPr>
          <w:color w:val="000000"/>
        </w:rPr>
      </w:pPr>
      <w:r>
        <w:rPr>
          <w:u w:val="single"/>
        </w:rPr>
        <w:t>Geplante Aufwendungen</w:t>
      </w:r>
      <w:r>
        <w:t xml:space="preserve">: </w:t>
      </w:r>
      <w:r>
        <w:rPr>
          <w:color w:val="000000"/>
        </w:rPr>
        <w:t xml:space="preserve">€ </w:t>
      </w:r>
      <w:r>
        <w:t>2.</w:t>
      </w:r>
      <w:proofErr w:type="gramStart"/>
      <w:r>
        <w:t>000,--</w:t>
      </w:r>
      <w:proofErr w:type="gramEnd"/>
      <w:r>
        <w:t xml:space="preserve"> </w:t>
      </w:r>
    </w:p>
    <w:p w:rsidR="00566CE0" w:rsidRPr="000378BB" w:rsidRDefault="00566CE0" w:rsidP="00566CE0">
      <w:pPr>
        <w:pStyle w:val="Textkrper"/>
        <w:jc w:val="both"/>
        <w:rPr>
          <w:color w:val="000000"/>
          <w:szCs w:val="22"/>
        </w:rPr>
      </w:pPr>
    </w:p>
    <w:p w:rsidR="00566CE0" w:rsidRDefault="00566CE0" w:rsidP="00566CE0">
      <w:pPr>
        <w:pStyle w:val="Textkrper"/>
        <w:pBdr>
          <w:bottom w:val="single" w:sz="4" w:space="1" w:color="auto"/>
        </w:pBdr>
        <w:rPr>
          <w:b/>
        </w:rPr>
      </w:pPr>
      <w:r>
        <w:rPr>
          <w:b/>
        </w:rPr>
        <w:t>Bewirtschafter/Abteilung: 2500 Wissenschaft und Weiterbildung</w:t>
      </w:r>
      <w:r>
        <w:rPr>
          <w:b/>
        </w:rPr>
        <w:br/>
        <w:t>Voranschlagstelle: 1-282005-7690-004 Förderung von Studenten</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Das Landesstipendium für die Förderung von Studierenden wird sozial bedürftigen und begabten Vorarlberger Studierenden für ihre Erstausbildung an Hochschulen, Fachhochschulen und Universitäten gewährt. Die Förderung pro Studienjahr beträgt bis zu EUR 2.000,-. Im Jahr 2019 haben 74 Vorarlberger Studierende eine Unterstützung erhalten, davon 48 Frauen (65 %) und 26 Männer (35 %).</w:t>
      </w:r>
    </w:p>
    <w:p w:rsidR="00566CE0" w:rsidRDefault="00566CE0" w:rsidP="00566CE0">
      <w:pPr>
        <w:pStyle w:val="Textkrper"/>
        <w:jc w:val="both"/>
        <w:rPr>
          <w:color w:val="000000"/>
          <w:u w:val="single"/>
        </w:rPr>
      </w:pPr>
      <w:r>
        <w:rPr>
          <w:u w:val="single"/>
        </w:rPr>
        <w:t>Maßnahmen/Ziele:</w:t>
      </w:r>
    </w:p>
    <w:p w:rsidR="00B04990" w:rsidRDefault="00566CE0" w:rsidP="00566CE0">
      <w:pPr>
        <w:pStyle w:val="Textkrper"/>
        <w:jc w:val="both"/>
      </w:pPr>
      <w:r>
        <w:t>Damit Frauen nach der Familienpause die Möglichkeit zu einem Studium haben, wurde vor einigen Jahren die Altersgrenze für das Stipendium von 35 auf 45 Jahre angehoben. Die Anzahl der Stipendien und der Anteil der Frauen bzw. Männer hängen von den Ansuchen ab und können generell nicht beeinflusst werden, durch die Anhebung der Altersgrenze profitieren aber deutlich mehr Frauen vom Landesstipendium. Im Jahr 2018 haben 10 Studierende von dieser höheren Altersgrenze profitiert. Wie im Jahr 2019 haben auch in den Jahren zuvor deutlich mehr Frauen als Männer ein Stipendium erhalten. Die Anhebung der Altersgrenze ist ein wichtiger Beitrag zu</w:t>
      </w:r>
      <w:r w:rsidR="00270D67">
        <w:t xml:space="preserve">m „Lebenslangen Lernen“ </w:t>
      </w:r>
      <w:r>
        <w:t>von Frauen und zur Anhebung der Akademiker/</w:t>
      </w:r>
      <w:proofErr w:type="spellStart"/>
      <w:r>
        <w:t>innenquote</w:t>
      </w:r>
      <w:proofErr w:type="spellEnd"/>
      <w:r>
        <w:t xml:space="preserve"> in Vorarlberg. Die Auswertungen (Anteil Frauen/Männer) erscheinen auf Grundlage des Kulturfördergesetzes im jährlichen Kulturbericht.  </w:t>
      </w:r>
    </w:p>
    <w:p w:rsidR="00566CE0" w:rsidRDefault="00566CE0" w:rsidP="00566CE0">
      <w:pPr>
        <w:pStyle w:val="Textkrper"/>
        <w:jc w:val="both"/>
      </w:pPr>
      <w:r>
        <w:rPr>
          <w:u w:val="single"/>
        </w:rPr>
        <w:t>Geplante Aufwendungen</w:t>
      </w:r>
      <w:r w:rsidR="000378BB">
        <w:t xml:space="preserve">: </w:t>
      </w:r>
      <w:r>
        <w:t>€ 100.</w:t>
      </w:r>
      <w:proofErr w:type="gramStart"/>
      <w:r>
        <w:t>000,--</w:t>
      </w:r>
      <w:proofErr w:type="gramEnd"/>
    </w:p>
    <w:p w:rsidR="00B04990" w:rsidRDefault="00B04990" w:rsidP="00566CE0">
      <w:pPr>
        <w:pStyle w:val="Textkrper"/>
        <w:pBdr>
          <w:bottom w:val="single" w:sz="4" w:space="1" w:color="auto"/>
        </w:pBdr>
        <w:rPr>
          <w:b/>
        </w:rPr>
      </w:pPr>
    </w:p>
    <w:p w:rsidR="00566CE0" w:rsidRDefault="00566CE0" w:rsidP="00566CE0">
      <w:pPr>
        <w:pStyle w:val="Textkrper"/>
        <w:pBdr>
          <w:bottom w:val="single" w:sz="4" w:space="1" w:color="auto"/>
        </w:pBdr>
        <w:rPr>
          <w:b/>
        </w:rPr>
      </w:pPr>
      <w:r>
        <w:rPr>
          <w:b/>
        </w:rPr>
        <w:t>Bewirtschafter/Abteilung: 2500 Wissenschaft und Weiterbildung</w:t>
      </w:r>
      <w:r>
        <w:rPr>
          <w:b/>
        </w:rPr>
        <w:br/>
        <w:t>Voranschlagstelle: 1-320009-7270-001 Fortbildung für Musikschullehrer</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 xml:space="preserve">Das Fortbildungsprogramm für Musikschullehrende wird seit Jahren von der Servicestelle des Vorarlberger Musikschulwerkes in Zusammenarbeit mit den Landesfachgruppenleitenden zusammengestellt. Die jährliche Evaluierung des Vorarlberger Musikschulwerkes zeigt eine hohe Fortbildungsbereitschaft. Im Programm werden seit vielen Jahren auch spezielle Angebote für Lehrpersonen von Mangelinstrumenten, Menschen mit Beeinträchtigung, etc. angeboten. Das Programm richtet sich gleichermaßen an Frauen und Männer, die aktuellste Evaluierung vom Schuljahr 2018/19 zeigt, dass an den Musikschulen 49 % Lehrerinnen und 51 % Lehrer unterrichten. </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 xml:space="preserve">Für das Fortbildungsprogramm im kommenden Jahr sowie für die Folgejahre wird weiterhin aktiv bei der Musikschulwerk-Servicestelle angeregt, Kursangebote aufzunehmen, welche Aspekte von Gender und Diversität berücksichtigen. </w:t>
      </w:r>
    </w:p>
    <w:p w:rsidR="00566CE0" w:rsidRDefault="00566CE0" w:rsidP="00566CE0">
      <w:pPr>
        <w:pStyle w:val="Textkrper"/>
        <w:jc w:val="both"/>
      </w:pPr>
      <w:r>
        <w:rPr>
          <w:u w:val="single"/>
        </w:rPr>
        <w:t>Geplante Aufwendungen</w:t>
      </w:r>
      <w:r>
        <w:t>: €</w:t>
      </w:r>
      <w:r w:rsidR="00E07D71">
        <w:t xml:space="preserve"> </w:t>
      </w:r>
      <w:r>
        <w:t>2.</w:t>
      </w:r>
      <w:proofErr w:type="gramStart"/>
      <w:r>
        <w:t>000,--</w:t>
      </w:r>
      <w:proofErr w:type="gramEnd"/>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3400 Wohnbauförderung</w:t>
      </w:r>
      <w:r>
        <w:rPr>
          <w:b/>
        </w:rPr>
        <w:br/>
        <w:t>Voranschlagstelle: 1-482106-2470-090 Darlehen an private Haushalte (WFG)</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Förderung der Errichtung von Eigenheimen oder des Erwerbs von Eigentumswohnungen; personenbezogene und objektbezogene Förderungsvoraussetzungen sind einzuhalten. Werden mit der Wohnbauförderung die richtigen Personenschichten getroffen? Haben Frauen dieselben Zugangskriterien zu Wohnbauförderungsmitteln?</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 xml:space="preserve">Frauen haben dieselben Zugangskriterien zu Wohnbauförderungsmitteln wie Männer. </w:t>
      </w:r>
      <w:r w:rsidR="0099300B">
        <w:t>M</w:t>
      </w:r>
      <w:r>
        <w:t xml:space="preserve">it verschiedenen Boni werden Anreize geschaffen, auf den Wohnungsmarkt steuernd einzugreifen (z.B.: Fenster und Türen einbruchshemmend, Bonus zur </w:t>
      </w:r>
      <w:proofErr w:type="spellStart"/>
      <w:r>
        <w:t>Hausstandsgründung</w:t>
      </w:r>
      <w:proofErr w:type="spellEnd"/>
      <w:r>
        <w:t xml:space="preserve">, Bonus für barrierefreie Ausführung, Einkommens- und Kinderbonus </w:t>
      </w:r>
      <w:proofErr w:type="spellStart"/>
      <w:r>
        <w:t>usw</w:t>
      </w:r>
      <w:proofErr w:type="spellEnd"/>
      <w:r>
        <w:t xml:space="preserve">). Inklusion wird in der Wohnbauförderung </w:t>
      </w:r>
      <w:proofErr w:type="gramStart"/>
      <w:r>
        <w:t>groß geschrieben</w:t>
      </w:r>
      <w:proofErr w:type="gramEnd"/>
      <w:r>
        <w:t xml:space="preserve">. Wer die entsprechenden sozialen Kriterien einhält (z.B.: Einkommensgrenzen usw.), kann in den </w:t>
      </w:r>
      <w:proofErr w:type="spellStart"/>
      <w:r>
        <w:t>Genuß</w:t>
      </w:r>
      <w:proofErr w:type="spellEnd"/>
      <w:r>
        <w:t xml:space="preserve"> von Förderungsmitteln kommen.</w:t>
      </w:r>
    </w:p>
    <w:p w:rsidR="00566CE0" w:rsidRDefault="00566CE0" w:rsidP="00566CE0">
      <w:pPr>
        <w:pStyle w:val="Textkrper"/>
        <w:jc w:val="both"/>
        <w:rPr>
          <w:color w:val="000000"/>
        </w:rPr>
      </w:pPr>
      <w:r>
        <w:rPr>
          <w:u w:val="single"/>
        </w:rPr>
        <w:t xml:space="preserve">Geplante Aufwendungen: </w:t>
      </w:r>
      <w:r>
        <w:t>€ 59.300.</w:t>
      </w:r>
      <w:proofErr w:type="gramStart"/>
      <w:r>
        <w:t>000,--</w:t>
      </w:r>
      <w:proofErr w:type="gramEnd"/>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3400 Wohnbauförderung</w:t>
      </w:r>
      <w:r>
        <w:rPr>
          <w:b/>
        </w:rPr>
        <w:br/>
        <w:t>Voranschlagstelle: 1-482204-7680-021 Wohnbeihilfen (WFG)</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 xml:space="preserve">Wer sich ""das Wohnen"" trotz Einkommen nicht leisten kann, kann Wohnbeihilfemittel beanspruchen. Warum sind </w:t>
      </w:r>
      <w:proofErr w:type="spellStart"/>
      <w:r>
        <w:t>Wohnbeihilfebezieher</w:t>
      </w:r>
      <w:r w:rsidR="00E07D71">
        <w:t>Innen</w:t>
      </w:r>
      <w:proofErr w:type="spellEnd"/>
      <w:r>
        <w:t xml:space="preserve"> zu einem größeren Teil Frauen?</w:t>
      </w:r>
    </w:p>
    <w:p w:rsidR="00566CE0" w:rsidRDefault="00566CE0" w:rsidP="00566CE0">
      <w:pPr>
        <w:pStyle w:val="Textkrper"/>
        <w:jc w:val="both"/>
        <w:rPr>
          <w:color w:val="000000"/>
          <w:u w:val="single"/>
        </w:rPr>
      </w:pPr>
      <w:r>
        <w:rPr>
          <w:u w:val="single"/>
        </w:rPr>
        <w:t>Maßnahmen/Ziele:</w:t>
      </w:r>
    </w:p>
    <w:p w:rsidR="00566CE0" w:rsidRDefault="00566CE0" w:rsidP="00566CE0">
      <w:pPr>
        <w:pStyle w:val="Textkrper"/>
        <w:jc w:val="both"/>
        <w:rPr>
          <w:color w:val="000000"/>
        </w:rPr>
      </w:pPr>
      <w:r>
        <w:t xml:space="preserve">Für Frauen gelten </w:t>
      </w:r>
      <w:r w:rsidR="0099300B">
        <w:t xml:space="preserve">grundsätzlich </w:t>
      </w:r>
      <w:r>
        <w:t xml:space="preserve">dieselben Zugangskriterien für eine Wohnbeihilfe wie für Männer. </w:t>
      </w:r>
      <w:proofErr w:type="gramStart"/>
      <w:r w:rsidR="0099300B">
        <w:t>Bei folgenden</w:t>
      </w:r>
      <w:proofErr w:type="gramEnd"/>
      <w:r w:rsidR="0099300B">
        <w:t xml:space="preserve"> Maßnahmen liegt der Fokus bei </w:t>
      </w:r>
      <w:r>
        <w:t>Frauen und Familien</w:t>
      </w:r>
      <w:r w:rsidR="0099300B">
        <w:t>:</w:t>
      </w:r>
    </w:p>
    <w:p w:rsidR="00566CE0" w:rsidRDefault="00566CE0" w:rsidP="00566CE0">
      <w:pPr>
        <w:pStyle w:val="Textkrper"/>
        <w:jc w:val="both"/>
        <w:rPr>
          <w:color w:val="000000"/>
        </w:rPr>
      </w:pPr>
      <w:r>
        <w:t>Bonus für alleinerziehende Personen (Prozentsatz der Einkommenstabelle wird um fünf Prozentpunkte reduziert).</w:t>
      </w:r>
      <w:r w:rsidR="0099300B">
        <w:t xml:space="preserve"> </w:t>
      </w:r>
      <w:r w:rsidR="000135AD">
        <w:t xml:space="preserve"> </w:t>
      </w:r>
      <w:r>
        <w:t>Begünstigungsklausel bei drei und mehr unterhaltspflichtigen Kindern bzw. bei einem Kind mit einer Behinderung oder einer erhöhten Familienbeihilfe (Prozentsatz der Einkommenstabelle wird einmalig um zehn Prozentpunkte reduziert).</w:t>
      </w:r>
      <w:r w:rsidR="000135AD">
        <w:t xml:space="preserve">  </w:t>
      </w:r>
      <w:r>
        <w:t>Alleinerziehende Personen mit Kindern unter sechs Jahren und alleinerziehende Personen mit drei und mehr Kindern im Alter von sechs bis 18 Jahren müssen keine Beschäftigung nachweisen. Alleinerziehende Personen mit bis zu zwei Kindern im Alter von sechs bis 18 Jahren müssen eine Teilzeitbeschäftigung haben. Für die Anerkennung der Teilzeitbeschäftigung muss diese die Geringfügigkeitsgrenze hinsichtlich der Sozialversicherungspflicht überschreiten.</w:t>
      </w:r>
      <w:r w:rsidR="000135AD">
        <w:t xml:space="preserve"> </w:t>
      </w:r>
    </w:p>
    <w:p w:rsidR="00566CE0" w:rsidRDefault="00566CE0" w:rsidP="00566CE0">
      <w:pPr>
        <w:pStyle w:val="Textkrper"/>
        <w:jc w:val="both"/>
        <w:rPr>
          <w:color w:val="000000"/>
        </w:rPr>
      </w:pPr>
      <w:r>
        <w:t>Alleinerziehende Personen sind vorwiegend Frauen und werden somit verstärkt in der Wohnbeihilferichtlinie berücksichtigt.</w:t>
      </w:r>
      <w:r w:rsidR="0099300B">
        <w:t xml:space="preserve"> </w:t>
      </w:r>
      <w:r>
        <w:t>Im Jahr 2019 erhielten 9.238 Haushalte eine Unterstützung aus Wohnbeihilfemitteln. Diese Haushalte verteilten sich folgendermaßen:</w:t>
      </w:r>
    </w:p>
    <w:p w:rsidR="00566CE0" w:rsidRPr="000378BB" w:rsidRDefault="00566CE0" w:rsidP="000373B6">
      <w:pPr>
        <w:pStyle w:val="Flietext"/>
        <w:rPr>
          <w:color w:val="000000"/>
          <w:sz w:val="22"/>
          <w:szCs w:val="22"/>
        </w:rPr>
      </w:pPr>
      <w:r w:rsidRPr="000378BB">
        <w:rPr>
          <w:sz w:val="22"/>
          <w:szCs w:val="22"/>
        </w:rPr>
        <w:t>Eigentum</w:t>
      </w:r>
      <w:r w:rsidRPr="000378BB">
        <w:rPr>
          <w:sz w:val="22"/>
          <w:szCs w:val="22"/>
        </w:rPr>
        <w:tab/>
      </w:r>
      <w:r w:rsidRPr="000378BB">
        <w:rPr>
          <w:sz w:val="22"/>
          <w:szCs w:val="22"/>
        </w:rPr>
        <w:tab/>
      </w:r>
      <w:r w:rsidRPr="000378BB">
        <w:rPr>
          <w:sz w:val="22"/>
          <w:szCs w:val="22"/>
        </w:rPr>
        <w:tab/>
        <w:t xml:space="preserve">   </w:t>
      </w:r>
      <w:r w:rsidR="000373B6" w:rsidRPr="000378BB">
        <w:rPr>
          <w:sz w:val="22"/>
          <w:szCs w:val="22"/>
        </w:rPr>
        <w:tab/>
        <w:t xml:space="preserve">   </w:t>
      </w:r>
      <w:r w:rsidRPr="000378BB">
        <w:rPr>
          <w:sz w:val="22"/>
          <w:szCs w:val="22"/>
        </w:rPr>
        <w:t>495</w:t>
      </w:r>
    </w:p>
    <w:p w:rsidR="00566CE0" w:rsidRPr="000378BB" w:rsidRDefault="00566CE0" w:rsidP="000373B6">
      <w:pPr>
        <w:pStyle w:val="Flietext"/>
        <w:rPr>
          <w:color w:val="000000"/>
          <w:sz w:val="22"/>
          <w:szCs w:val="22"/>
        </w:rPr>
      </w:pPr>
      <w:r w:rsidRPr="000378BB">
        <w:rPr>
          <w:sz w:val="22"/>
          <w:szCs w:val="22"/>
        </w:rPr>
        <w:t>Gemeinnützige Mietwohnung:</w:t>
      </w:r>
      <w:r w:rsidRPr="000378BB">
        <w:rPr>
          <w:sz w:val="22"/>
          <w:szCs w:val="22"/>
        </w:rPr>
        <w:tab/>
        <w:t>4.895</w:t>
      </w:r>
    </w:p>
    <w:p w:rsidR="00566CE0" w:rsidRPr="000378BB" w:rsidRDefault="00566CE0" w:rsidP="000373B6">
      <w:pPr>
        <w:pStyle w:val="Flietext"/>
        <w:rPr>
          <w:color w:val="000000"/>
          <w:sz w:val="22"/>
          <w:szCs w:val="22"/>
        </w:rPr>
      </w:pPr>
      <w:r w:rsidRPr="000378BB">
        <w:rPr>
          <w:sz w:val="22"/>
          <w:szCs w:val="22"/>
        </w:rPr>
        <w:t>Private Mietwohnung:</w:t>
      </w:r>
      <w:r w:rsidRPr="000378BB">
        <w:rPr>
          <w:sz w:val="22"/>
          <w:szCs w:val="22"/>
        </w:rPr>
        <w:tab/>
      </w:r>
      <w:r w:rsidRPr="000378BB">
        <w:rPr>
          <w:sz w:val="22"/>
          <w:szCs w:val="22"/>
        </w:rPr>
        <w:tab/>
        <w:t>3.848</w:t>
      </w:r>
    </w:p>
    <w:p w:rsidR="00566CE0" w:rsidRPr="000378BB" w:rsidRDefault="00566CE0" w:rsidP="00566CE0">
      <w:pPr>
        <w:pStyle w:val="Textkrper"/>
        <w:jc w:val="both"/>
        <w:rPr>
          <w:color w:val="000000"/>
          <w:szCs w:val="22"/>
        </w:rPr>
      </w:pPr>
    </w:p>
    <w:p w:rsidR="00566CE0" w:rsidRPr="000378BB" w:rsidRDefault="00566CE0" w:rsidP="00566CE0">
      <w:pPr>
        <w:pStyle w:val="Textkrper"/>
        <w:jc w:val="both"/>
        <w:rPr>
          <w:color w:val="000000"/>
          <w:szCs w:val="22"/>
        </w:rPr>
      </w:pPr>
      <w:r w:rsidRPr="000378BB">
        <w:rPr>
          <w:szCs w:val="22"/>
        </w:rPr>
        <w:t>Die Aufteilung nach Haushaltsgrößen sah folgendermaßen aus:</w:t>
      </w:r>
    </w:p>
    <w:p w:rsidR="00566CE0" w:rsidRPr="000378BB" w:rsidRDefault="00566CE0" w:rsidP="000373B6">
      <w:pPr>
        <w:pStyle w:val="Flietext"/>
        <w:rPr>
          <w:color w:val="000000"/>
          <w:sz w:val="22"/>
          <w:szCs w:val="22"/>
        </w:rPr>
      </w:pPr>
      <w:r w:rsidRPr="000378BB">
        <w:rPr>
          <w:sz w:val="22"/>
          <w:szCs w:val="22"/>
        </w:rPr>
        <w:t>Haushaltsmitglieder</w:t>
      </w:r>
      <w:r w:rsidRPr="000378BB">
        <w:rPr>
          <w:sz w:val="22"/>
          <w:szCs w:val="22"/>
        </w:rPr>
        <w:tab/>
      </w:r>
      <w:r w:rsidRPr="000378BB">
        <w:rPr>
          <w:sz w:val="22"/>
          <w:szCs w:val="22"/>
        </w:rPr>
        <w:tab/>
        <w:t>Haushalte</w:t>
      </w:r>
    </w:p>
    <w:p w:rsidR="00566CE0" w:rsidRPr="000378BB" w:rsidRDefault="00566CE0" w:rsidP="000373B6">
      <w:pPr>
        <w:pStyle w:val="Flietext"/>
        <w:rPr>
          <w:color w:val="000000"/>
          <w:sz w:val="22"/>
          <w:szCs w:val="22"/>
        </w:rPr>
      </w:pPr>
      <w:r w:rsidRPr="000378BB">
        <w:rPr>
          <w:sz w:val="22"/>
          <w:szCs w:val="22"/>
        </w:rPr>
        <w:t>1</w:t>
      </w:r>
      <w:r w:rsidRPr="000378BB">
        <w:rPr>
          <w:sz w:val="22"/>
          <w:szCs w:val="22"/>
        </w:rPr>
        <w:tab/>
      </w:r>
      <w:r w:rsidRPr="000378BB">
        <w:rPr>
          <w:sz w:val="22"/>
          <w:szCs w:val="22"/>
        </w:rPr>
        <w:tab/>
      </w:r>
      <w:r w:rsidRPr="000378BB">
        <w:rPr>
          <w:sz w:val="22"/>
          <w:szCs w:val="22"/>
        </w:rPr>
        <w:tab/>
      </w:r>
      <w:r w:rsidRPr="000378BB">
        <w:rPr>
          <w:sz w:val="22"/>
          <w:szCs w:val="22"/>
        </w:rPr>
        <w:tab/>
        <w:t>5.217</w:t>
      </w:r>
    </w:p>
    <w:p w:rsidR="00566CE0" w:rsidRPr="000378BB" w:rsidRDefault="00566CE0" w:rsidP="000373B6">
      <w:pPr>
        <w:pStyle w:val="Flietext"/>
        <w:rPr>
          <w:color w:val="000000"/>
          <w:sz w:val="22"/>
          <w:szCs w:val="22"/>
        </w:rPr>
      </w:pPr>
      <w:r w:rsidRPr="000378BB">
        <w:rPr>
          <w:sz w:val="22"/>
          <w:szCs w:val="22"/>
        </w:rPr>
        <w:t>2</w:t>
      </w:r>
      <w:r w:rsidRPr="000378BB">
        <w:rPr>
          <w:sz w:val="22"/>
          <w:szCs w:val="22"/>
        </w:rPr>
        <w:tab/>
      </w:r>
      <w:r w:rsidRPr="000378BB">
        <w:rPr>
          <w:sz w:val="22"/>
          <w:szCs w:val="22"/>
        </w:rPr>
        <w:tab/>
      </w:r>
      <w:r w:rsidRPr="000378BB">
        <w:rPr>
          <w:sz w:val="22"/>
          <w:szCs w:val="22"/>
        </w:rPr>
        <w:tab/>
      </w:r>
      <w:r w:rsidRPr="000378BB">
        <w:rPr>
          <w:sz w:val="22"/>
          <w:szCs w:val="22"/>
        </w:rPr>
        <w:tab/>
        <w:t>1.806</w:t>
      </w:r>
    </w:p>
    <w:p w:rsidR="00566CE0" w:rsidRPr="000378BB" w:rsidRDefault="00566CE0" w:rsidP="000373B6">
      <w:pPr>
        <w:pStyle w:val="Flietext"/>
        <w:rPr>
          <w:color w:val="000000"/>
          <w:sz w:val="22"/>
          <w:szCs w:val="22"/>
        </w:rPr>
      </w:pPr>
      <w:r w:rsidRPr="000378BB">
        <w:rPr>
          <w:sz w:val="22"/>
          <w:szCs w:val="22"/>
        </w:rPr>
        <w:t>3</w:t>
      </w:r>
      <w:r w:rsidRPr="000378BB">
        <w:rPr>
          <w:sz w:val="22"/>
          <w:szCs w:val="22"/>
        </w:rPr>
        <w:tab/>
      </w:r>
      <w:r w:rsidRPr="000378BB">
        <w:rPr>
          <w:sz w:val="22"/>
          <w:szCs w:val="22"/>
        </w:rPr>
        <w:tab/>
      </w:r>
      <w:r w:rsidRPr="000378BB">
        <w:rPr>
          <w:sz w:val="22"/>
          <w:szCs w:val="22"/>
        </w:rPr>
        <w:tab/>
      </w:r>
      <w:r w:rsidRPr="000378BB">
        <w:rPr>
          <w:sz w:val="22"/>
          <w:szCs w:val="22"/>
        </w:rPr>
        <w:tab/>
        <w:t xml:space="preserve">   968</w:t>
      </w:r>
    </w:p>
    <w:p w:rsidR="00566CE0" w:rsidRPr="000378BB" w:rsidRDefault="00566CE0" w:rsidP="000373B6">
      <w:pPr>
        <w:pStyle w:val="Flietext"/>
        <w:rPr>
          <w:color w:val="000000"/>
          <w:sz w:val="22"/>
          <w:szCs w:val="22"/>
        </w:rPr>
      </w:pPr>
      <w:r w:rsidRPr="000378BB">
        <w:rPr>
          <w:sz w:val="22"/>
          <w:szCs w:val="22"/>
        </w:rPr>
        <w:t>4</w:t>
      </w:r>
      <w:r w:rsidRPr="000378BB">
        <w:rPr>
          <w:sz w:val="22"/>
          <w:szCs w:val="22"/>
        </w:rPr>
        <w:tab/>
      </w:r>
      <w:r w:rsidRPr="000378BB">
        <w:rPr>
          <w:sz w:val="22"/>
          <w:szCs w:val="22"/>
        </w:rPr>
        <w:tab/>
      </w:r>
      <w:r w:rsidRPr="000378BB">
        <w:rPr>
          <w:sz w:val="22"/>
          <w:szCs w:val="22"/>
        </w:rPr>
        <w:tab/>
      </w:r>
      <w:r w:rsidRPr="000378BB">
        <w:rPr>
          <w:sz w:val="22"/>
          <w:szCs w:val="22"/>
        </w:rPr>
        <w:tab/>
        <w:t xml:space="preserve">   552</w:t>
      </w:r>
    </w:p>
    <w:p w:rsidR="00566CE0" w:rsidRPr="000378BB" w:rsidRDefault="00566CE0" w:rsidP="000373B6">
      <w:pPr>
        <w:pStyle w:val="Flietext"/>
        <w:rPr>
          <w:color w:val="000000"/>
          <w:sz w:val="22"/>
          <w:szCs w:val="22"/>
        </w:rPr>
      </w:pPr>
      <w:r w:rsidRPr="000378BB">
        <w:rPr>
          <w:sz w:val="22"/>
          <w:szCs w:val="22"/>
        </w:rPr>
        <w:t>5</w:t>
      </w:r>
      <w:r w:rsidRPr="000378BB">
        <w:rPr>
          <w:sz w:val="22"/>
          <w:szCs w:val="22"/>
        </w:rPr>
        <w:tab/>
      </w:r>
      <w:r w:rsidRPr="000378BB">
        <w:rPr>
          <w:sz w:val="22"/>
          <w:szCs w:val="22"/>
        </w:rPr>
        <w:tab/>
      </w:r>
      <w:r w:rsidRPr="000378BB">
        <w:rPr>
          <w:sz w:val="22"/>
          <w:szCs w:val="22"/>
        </w:rPr>
        <w:tab/>
      </w:r>
      <w:r w:rsidRPr="000378BB">
        <w:rPr>
          <w:sz w:val="22"/>
          <w:szCs w:val="22"/>
        </w:rPr>
        <w:tab/>
        <w:t xml:space="preserve">   387</w:t>
      </w:r>
    </w:p>
    <w:p w:rsidR="00566CE0" w:rsidRPr="000378BB" w:rsidRDefault="00566CE0" w:rsidP="000373B6">
      <w:pPr>
        <w:pStyle w:val="Flietext"/>
        <w:rPr>
          <w:color w:val="000000"/>
          <w:sz w:val="22"/>
          <w:szCs w:val="22"/>
        </w:rPr>
      </w:pPr>
      <w:r w:rsidRPr="000378BB">
        <w:rPr>
          <w:sz w:val="22"/>
          <w:szCs w:val="22"/>
        </w:rPr>
        <w:t>6+</w:t>
      </w:r>
      <w:r w:rsidRPr="000378BB">
        <w:rPr>
          <w:sz w:val="22"/>
          <w:szCs w:val="22"/>
        </w:rPr>
        <w:tab/>
      </w:r>
      <w:r w:rsidRPr="000378BB">
        <w:rPr>
          <w:sz w:val="22"/>
          <w:szCs w:val="22"/>
        </w:rPr>
        <w:tab/>
      </w:r>
      <w:r w:rsidRPr="000378BB">
        <w:rPr>
          <w:sz w:val="22"/>
          <w:szCs w:val="22"/>
        </w:rPr>
        <w:tab/>
      </w:r>
      <w:r w:rsidRPr="000378BB">
        <w:rPr>
          <w:sz w:val="22"/>
          <w:szCs w:val="22"/>
        </w:rPr>
        <w:tab/>
        <w:t xml:space="preserve">   308</w:t>
      </w:r>
    </w:p>
    <w:p w:rsidR="000373B6" w:rsidRDefault="000373B6" w:rsidP="00566CE0">
      <w:pPr>
        <w:pStyle w:val="Textkrper"/>
        <w:jc w:val="both"/>
        <w:rPr>
          <w:u w:val="single"/>
        </w:rPr>
      </w:pPr>
    </w:p>
    <w:p w:rsidR="00566CE0" w:rsidRDefault="00566CE0" w:rsidP="00566CE0">
      <w:pPr>
        <w:pStyle w:val="Textkrper"/>
        <w:jc w:val="both"/>
        <w:rPr>
          <w:color w:val="000000"/>
        </w:rPr>
      </w:pPr>
      <w:r>
        <w:rPr>
          <w:u w:val="single"/>
        </w:rPr>
        <w:t xml:space="preserve">Geplante Aufwendungen: </w:t>
      </w:r>
      <w:r>
        <w:t>€ 30.000.</w:t>
      </w:r>
      <w:proofErr w:type="gramStart"/>
      <w:r>
        <w:t>000,--</w:t>
      </w:r>
      <w:proofErr w:type="gramEnd"/>
    </w:p>
    <w:p w:rsidR="005F3BEE" w:rsidRDefault="005F3BEE" w:rsidP="00566CE0">
      <w:pPr>
        <w:pStyle w:val="Textkrper"/>
        <w:pBdr>
          <w:bottom w:val="single" w:sz="4" w:space="1" w:color="auto"/>
        </w:pBdr>
        <w:rPr>
          <w:b/>
        </w:rPr>
      </w:pPr>
    </w:p>
    <w:p w:rsidR="00566CE0" w:rsidRDefault="00566CE0" w:rsidP="00566CE0">
      <w:pPr>
        <w:pStyle w:val="Textkrper"/>
        <w:pBdr>
          <w:bottom w:val="single" w:sz="4" w:space="1" w:color="auto"/>
        </w:pBdr>
        <w:rPr>
          <w:b/>
        </w:rPr>
      </w:pPr>
      <w:r>
        <w:rPr>
          <w:b/>
        </w:rPr>
        <w:t>Bewirtschafter/Abteilung: 3400 Wohnbauförderung</w:t>
      </w:r>
      <w:r>
        <w:rPr>
          <w:b/>
        </w:rPr>
        <w:br/>
        <w:t>Voranschlagstelle: 1-482204-7790-040 Sonstige Maßnahmen (WFG)</w:t>
      </w:r>
    </w:p>
    <w:p w:rsidR="00566CE0" w:rsidRDefault="00566CE0" w:rsidP="00566CE0">
      <w:pPr>
        <w:pStyle w:val="Textkrper"/>
        <w:jc w:val="both"/>
        <w:rPr>
          <w:color w:val="000000"/>
          <w:sz w:val="26"/>
          <w:u w:val="single" w:color="000000"/>
        </w:rPr>
      </w:pPr>
      <w:r>
        <w:rPr>
          <w:u w:val="single"/>
        </w:rPr>
        <w:t>Situation und daraus entstehende Fragen:</w:t>
      </w:r>
    </w:p>
    <w:p w:rsidR="00566CE0" w:rsidRDefault="00566CE0" w:rsidP="00566CE0">
      <w:pPr>
        <w:pStyle w:val="Textkrper"/>
        <w:jc w:val="both"/>
        <w:rPr>
          <w:color w:val="000000"/>
          <w:sz w:val="26"/>
        </w:rPr>
      </w:pPr>
      <w:r>
        <w:t>Der Zugang zu leistbaren, sprich integrativen Miet- und Mietkaufwohnungen sollte für alle Personen gleich sein. Die Wohnungsvergaberichtlinie sorgt dafür, dass sich sowohl Männer wie auch Frauen, die die Kriterien der Richtlinie einhalten, um eine Wohnung bewerben können. Diese Richtlinie regelt die Bedarfsermittlung, die Bewerbung und die Dringlichkeitsreihung samt Ausnahmen zum Zwecke einer sozialen Mischung.</w:t>
      </w:r>
    </w:p>
    <w:p w:rsidR="00566CE0" w:rsidRDefault="00566CE0" w:rsidP="00566CE0">
      <w:pPr>
        <w:pStyle w:val="Textkrper"/>
        <w:jc w:val="both"/>
        <w:rPr>
          <w:color w:val="000000"/>
          <w:sz w:val="26"/>
          <w:u w:val="single" w:color="000000"/>
        </w:rPr>
      </w:pPr>
      <w:r>
        <w:rPr>
          <w:u w:val="single"/>
        </w:rPr>
        <w:t>Maßnahmen/Ziele:</w:t>
      </w:r>
    </w:p>
    <w:p w:rsidR="00566CE0" w:rsidRDefault="00566CE0" w:rsidP="00566CE0">
      <w:pPr>
        <w:pStyle w:val="Textkrper"/>
        <w:jc w:val="both"/>
        <w:rPr>
          <w:color w:val="000000"/>
          <w:sz w:val="26"/>
        </w:rPr>
      </w:pPr>
      <w:r>
        <w:t>Frauen haben dieselben Zugangskriterien zu integrativen Mietwohnungen wie Männer.</w:t>
      </w:r>
      <w:r w:rsidR="0099300B">
        <w:t xml:space="preserve"> I</w:t>
      </w:r>
      <w:r>
        <w:t>nnerhalb der Richtlinie wurden u.a. folgende Voraussetzungen getroffen:</w:t>
      </w:r>
      <w:r w:rsidR="00270D67">
        <w:t xml:space="preserve"> </w:t>
      </w:r>
      <w:r>
        <w:t xml:space="preserve">Die Reihung </w:t>
      </w:r>
      <w:r w:rsidRPr="00157330">
        <w:t>der Wohnungswerb</w:t>
      </w:r>
      <w:r w:rsidR="00B04990" w:rsidRPr="00157330">
        <w:t>enden</w:t>
      </w:r>
      <w:r w:rsidRPr="00157330">
        <w:t xml:space="preserve"> erfolgt</w:t>
      </w:r>
      <w:r>
        <w:t xml:space="preserve"> nach der Dringlichkeit (Menschen ohne festen Wohnsitz bekommen daher auch die meisten Vergabepunkte). Dasselbe trifft im Falle einer Scheidung zu </w:t>
      </w:r>
      <w:proofErr w:type="spellStart"/>
      <w:r>
        <w:t>bzw</w:t>
      </w:r>
      <w:proofErr w:type="spellEnd"/>
      <w:r>
        <w:t xml:space="preserve"> bei Trennung mit Gewaltpotenzial (hier ist dringender Wohnungsbedarf gegeben). Dasselbe trifft im Falle einer gerichtlichen Räumung oder einer Versteigerung zu. Bei schlechtem Bauzustand oder zu teurer Wohnung werden ebenfalls sehr viel Vergabepunkte vergeben.</w:t>
      </w:r>
      <w:r w:rsidR="00270D67">
        <w:t xml:space="preserve"> </w:t>
      </w:r>
      <w:r>
        <w:t>Die Dringlichkeitsreihung bildet neben einer erwünschten sozialen Mischung die wesentliche Grundlage für die Vergabeentscheidung auf Basis des tatsächlichen Wohnungsangebotes.</w:t>
      </w:r>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4300 Sportreferat</w:t>
      </w:r>
      <w:r>
        <w:rPr>
          <w:b/>
        </w:rPr>
        <w:br/>
        <w:t xml:space="preserve">Voranschlagstelle: 1-269004-7280-001 Bewegungsinitiative </w:t>
      </w:r>
      <w:r w:rsidR="000373B6">
        <w:rPr>
          <w:b/>
        </w:rPr>
        <w:t xml:space="preserve"> -</w:t>
      </w:r>
      <w:r>
        <w:rPr>
          <w:b/>
        </w:rPr>
        <w:t>Vorarlberg bewegt-</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Mit den Aktionen, die im Rahmen der Landesinitiative Vorarlberg &gt;&gt;bewegt durchgeführt werden, werden Männer &amp; Frauen gleichermaßen angesprochen.</w:t>
      </w:r>
      <w:r w:rsidR="0099300B">
        <w:t xml:space="preserve"> </w:t>
      </w:r>
      <w:r>
        <w:t xml:space="preserve">Bei den </w:t>
      </w:r>
      <w:r>
        <w:rPr>
          <w:b/>
        </w:rPr>
        <w:t xml:space="preserve">Bewegungsserien </w:t>
      </w:r>
      <w:r>
        <w:t xml:space="preserve">„Bewegungstreffs“ und "Bewegt in den Tag" nehmen allerdings wesentlich mehr Frauen als Männer teil. </w:t>
      </w:r>
    </w:p>
    <w:p w:rsidR="00566CE0" w:rsidRDefault="00566CE0" w:rsidP="00566CE0">
      <w:pPr>
        <w:pStyle w:val="Textkrper"/>
        <w:jc w:val="both"/>
        <w:rPr>
          <w:color w:val="000000"/>
        </w:rPr>
      </w:pPr>
      <w:r>
        <w:t xml:space="preserve">Die </w:t>
      </w:r>
      <w:r>
        <w:rPr>
          <w:b/>
        </w:rPr>
        <w:t xml:space="preserve">Ausbildungen </w:t>
      </w:r>
      <w:r>
        <w:t xml:space="preserve">im Bereich „Bewegte Kindheit“ (Kindergartenpädagoginnen, VS-Pädagoginnen) werden überwiegend von Frauen besucht. Dies ist der Tatsache geschuldet, dass mehr Frauen den Beruf der Kindergartenpädagogin oder der VS-Lehrerin wählen und in weiterer Folge das angebotene Aus-, Fort- und Weiterbildungsangebot in Anspruch nehmen. </w:t>
      </w:r>
    </w:p>
    <w:p w:rsidR="00566CE0" w:rsidRDefault="00566CE0" w:rsidP="00566CE0">
      <w:pPr>
        <w:pStyle w:val="Textkrper"/>
        <w:jc w:val="both"/>
        <w:rPr>
          <w:color w:val="000000"/>
        </w:rPr>
      </w:pPr>
      <w:r>
        <w:rPr>
          <w:u w:val="single"/>
        </w:rPr>
        <w:t>Maßnahmen/Ziele:</w:t>
      </w:r>
      <w:r w:rsidR="0099300B">
        <w:rPr>
          <w:u w:val="single"/>
        </w:rPr>
        <w:t xml:space="preserve"> </w:t>
      </w:r>
      <w:r>
        <w:t>keine weiteren Maßnahmen erforderlich</w:t>
      </w:r>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4300 Sportreferat</w:t>
      </w:r>
      <w:r>
        <w:rPr>
          <w:b/>
        </w:rPr>
        <w:br/>
        <w:t>Voranschlagstelle: 1-269004-7670-127 Förderung der Vorarlberger Fachverbände</w:t>
      </w:r>
    </w:p>
    <w:p w:rsidR="00566CE0" w:rsidRDefault="00566CE0" w:rsidP="00566CE0">
      <w:pPr>
        <w:pStyle w:val="Textkrper"/>
        <w:jc w:val="both"/>
        <w:rPr>
          <w:color w:val="000000"/>
          <w:sz w:val="26"/>
          <w:u w:val="single" w:color="000000"/>
        </w:rPr>
      </w:pPr>
      <w:r>
        <w:rPr>
          <w:u w:val="single"/>
        </w:rPr>
        <w:t>Situation und daraus entstehende Fragen:</w:t>
      </w:r>
    </w:p>
    <w:p w:rsidR="00566CE0" w:rsidRDefault="00566CE0" w:rsidP="00566CE0">
      <w:pPr>
        <w:pStyle w:val="Textkrper"/>
        <w:jc w:val="both"/>
        <w:rPr>
          <w:color w:val="000000"/>
          <w:sz w:val="26"/>
          <w:u w:val="single" w:color="000000"/>
        </w:rPr>
      </w:pPr>
      <w:r>
        <w:t xml:space="preserve">Projekte einzelner Verbände zur </w:t>
      </w:r>
      <w:proofErr w:type="spellStart"/>
      <w:r>
        <w:t>Nachwuchsentwickulng</w:t>
      </w:r>
      <w:proofErr w:type="spellEnd"/>
      <w:r>
        <w:t xml:space="preserve"> erhalten unter bestimmten </w:t>
      </w:r>
      <w:proofErr w:type="spellStart"/>
      <w:r>
        <w:t>Vorarussetzungen</w:t>
      </w:r>
      <w:proofErr w:type="spellEnd"/>
      <w:r>
        <w:t xml:space="preserve"> eine Projektförderung. Viele Projekte sprechen Mädchen und Burschen gleichermaßen an. Einige Projekte forcieren Aktionen für Mädchen und Frauen, wie z.B. jenes des Fußballverbandes "Mädchen an den Ball", </w:t>
      </w:r>
      <w:proofErr w:type="gramStart"/>
      <w:r>
        <w:t>das</w:t>
      </w:r>
      <w:proofErr w:type="gramEnd"/>
      <w:r>
        <w:t xml:space="preserve"> das Land mit 37.500 € unterstützt. </w:t>
      </w:r>
    </w:p>
    <w:p w:rsidR="00566CE0" w:rsidRDefault="00566CE0" w:rsidP="00566CE0">
      <w:pPr>
        <w:pStyle w:val="Textkrper"/>
        <w:jc w:val="both"/>
        <w:rPr>
          <w:color w:val="000000"/>
          <w:sz w:val="26"/>
        </w:rPr>
      </w:pPr>
      <w:r>
        <w:rPr>
          <w:u w:val="single"/>
        </w:rPr>
        <w:t>Maßnahmen/Ziele:</w:t>
      </w:r>
      <w:r w:rsidR="0099300B">
        <w:rPr>
          <w:u w:val="single"/>
        </w:rPr>
        <w:t xml:space="preserve">  </w:t>
      </w:r>
      <w:r>
        <w:t xml:space="preserve"> keine besonderen Maßnahmen/Ziele geplant</w:t>
      </w:r>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4300 Sportreferat</w:t>
      </w:r>
      <w:r>
        <w:rPr>
          <w:b/>
        </w:rPr>
        <w:br/>
        <w:t>Voranschlagstelle: 1-269005-7670-116 Förderung des Jugend- und Nachwuchssportes</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r>
        <w:t>in dieser Voranschlagstelle sind mehrere Positionen zusammengefasst:</w:t>
      </w:r>
    </w:p>
    <w:p w:rsidR="00566CE0" w:rsidRDefault="00566CE0" w:rsidP="00566CE0">
      <w:pPr>
        <w:pStyle w:val="Textkrper"/>
        <w:jc w:val="both"/>
        <w:rPr>
          <w:color w:val="000000"/>
        </w:rPr>
      </w:pPr>
      <w:r w:rsidRPr="005F3BEE">
        <w:t>Einzelspitzensportförderung:</w:t>
      </w:r>
      <w:r w:rsidR="005F3BEE">
        <w:t xml:space="preserve"> </w:t>
      </w:r>
      <w:r>
        <w:t xml:space="preserve">Die </w:t>
      </w:r>
      <w:proofErr w:type="spellStart"/>
      <w:r>
        <w:t>NachwuchssportlerInnen</w:t>
      </w:r>
      <w:proofErr w:type="spellEnd"/>
      <w:r>
        <w:t xml:space="preserve"> werden durch ein Gremium (Sportreferat, Olympiazentrum Vorarlberg und zwei externe Experten) in die einzelnen Kader aufgenommen. Es wird ausschließlich das Potenzial zu internationalen Spitzenleistungen in den jeweiligen Sportarten herangezogen. In Wintersportarten sind von den geförderten Spitzensportlerin</w:t>
      </w:r>
      <w:r w:rsidR="00B04990">
        <w:t>n</w:t>
      </w:r>
      <w:r>
        <w:t>en und Spo</w:t>
      </w:r>
      <w:r w:rsidR="00B04990">
        <w:t>r</w:t>
      </w:r>
      <w:r>
        <w:t>tlern etwas mehr als die Hälfte Männer, in Sommersportarten ca. zwei Drittel.</w:t>
      </w:r>
    </w:p>
    <w:p w:rsidR="00566CE0" w:rsidRDefault="00566CE0" w:rsidP="00566CE0">
      <w:pPr>
        <w:pStyle w:val="Textkrper"/>
        <w:jc w:val="both"/>
        <w:rPr>
          <w:color w:val="000000"/>
        </w:rPr>
      </w:pPr>
      <w:r w:rsidRPr="005F3BEE">
        <w:t>Bildungsprämie (früher Übungsleiterentschädigung):</w:t>
      </w:r>
      <w:r w:rsidR="005F3BEE">
        <w:t xml:space="preserve"> </w:t>
      </w:r>
      <w:r>
        <w:t xml:space="preserve">Bei der Bildungsprämie handelt es sich um eine Entschädigung für Sportvereine, die diese für den Einsatz von </w:t>
      </w:r>
      <w:proofErr w:type="spellStart"/>
      <w:r>
        <w:t>ausgebildeteten</w:t>
      </w:r>
      <w:proofErr w:type="spellEnd"/>
      <w:r>
        <w:t xml:space="preserve"> Trainerinnen und Trainern erhalten. Die Höhe der Entschädigung erfolgt durch die Gewichtung des Qualifikationsstatus. Die Trainerinnen und Trainer sind unter anderem auch zur regelmäßiger (moderater) Fortbildung verpflichtet. In Summe rechnen Vereine Trainingsstunden von ca. 1.000 Übungsleiterinnen und 2.000 Übungsleitern ab.</w:t>
      </w:r>
    </w:p>
    <w:p w:rsidR="00566CE0" w:rsidRDefault="00566CE0" w:rsidP="00566CE0">
      <w:pPr>
        <w:pStyle w:val="Textkrper"/>
        <w:jc w:val="both"/>
        <w:rPr>
          <w:color w:val="000000"/>
        </w:rPr>
      </w:pPr>
      <w:r>
        <w:rPr>
          <w:u w:val="single"/>
        </w:rPr>
        <w:t>Maßnahmen/Ziele:</w:t>
      </w:r>
      <w:r w:rsidR="0099300B">
        <w:rPr>
          <w:u w:val="single"/>
        </w:rPr>
        <w:t xml:space="preserve"> </w:t>
      </w:r>
      <w:r>
        <w:t xml:space="preserve"> keine besonderen Maßnahmen/Ziele geplant</w:t>
      </w:r>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4400 Sanitätsangelegenheiten</w:t>
      </w:r>
      <w:r>
        <w:rPr>
          <w:b/>
        </w:rPr>
        <w:br/>
        <w:t xml:space="preserve">Voranschlagstelle: 1-512004-7670-001 Mittel </w:t>
      </w:r>
      <w:proofErr w:type="spellStart"/>
      <w:r>
        <w:rPr>
          <w:b/>
        </w:rPr>
        <w:t>f</w:t>
      </w:r>
      <w:r w:rsidR="000135AD">
        <w:rPr>
          <w:b/>
        </w:rPr>
        <w:t>ür</w:t>
      </w:r>
      <w:r>
        <w:rPr>
          <w:b/>
        </w:rPr>
        <w:t>Gesundheitsförderung</w:t>
      </w:r>
      <w:proofErr w:type="spellEnd"/>
      <w:r>
        <w:rPr>
          <w:b/>
        </w:rPr>
        <w:t>,</w:t>
      </w:r>
      <w:r w:rsidR="000135AD">
        <w:rPr>
          <w:b/>
        </w:rPr>
        <w:t xml:space="preserve"> </w:t>
      </w:r>
      <w:r>
        <w:rPr>
          <w:b/>
        </w:rPr>
        <w:t xml:space="preserve">Prävention und </w:t>
      </w:r>
      <w:proofErr w:type="spellStart"/>
      <w:r>
        <w:rPr>
          <w:b/>
        </w:rPr>
        <w:t>public</w:t>
      </w:r>
      <w:proofErr w:type="spellEnd"/>
      <w:r>
        <w:rPr>
          <w:b/>
        </w:rPr>
        <w:t xml:space="preserve"> </w:t>
      </w:r>
      <w:proofErr w:type="spellStart"/>
      <w:r>
        <w:rPr>
          <w:b/>
        </w:rPr>
        <w:t>health</w:t>
      </w:r>
      <w:proofErr w:type="spellEnd"/>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proofErr w:type="spellStart"/>
      <w:r w:rsidRPr="005F3BEE">
        <w:t>aks</w:t>
      </w:r>
      <w:proofErr w:type="spellEnd"/>
      <w:r w:rsidRPr="005F3BEE">
        <w:t xml:space="preserve"> </w:t>
      </w:r>
      <w:proofErr w:type="spellStart"/>
      <w:r w:rsidRPr="005F3BEE">
        <w:t>gesundheit</w:t>
      </w:r>
      <w:proofErr w:type="spellEnd"/>
      <w:r w:rsidRPr="005F3BEE">
        <w:t xml:space="preserve"> GmbH</w:t>
      </w:r>
      <w:r w:rsidR="000135AD" w:rsidRPr="005F3BEE">
        <w:t>:</w:t>
      </w:r>
      <w:r w:rsidR="000135AD">
        <w:rPr>
          <w:b/>
        </w:rPr>
        <w:t xml:space="preserve"> </w:t>
      </w:r>
      <w:r>
        <w:t xml:space="preserve">Das Land Vorarlberg vergütet der "aks Gesundheit GmbH" aus dem Bereich Gesundheitsförderung/Prävention die Aufwände für Organisation, Dokumentation und Evaluation vorsorgemedizinischer Programme (z.B. Klein- und Schulkinderimpfungen, Kindergarten- und Schuluntersuchungen), für </w:t>
      </w:r>
      <w:proofErr w:type="spellStart"/>
      <w:r>
        <w:t>settingorientierte</w:t>
      </w:r>
      <w:proofErr w:type="spellEnd"/>
      <w:r>
        <w:t xml:space="preserve"> Gesundheitsförderungsprogramme etc., </w:t>
      </w:r>
      <w:proofErr w:type="spellStart"/>
      <w:r>
        <w:t>weiters</w:t>
      </w:r>
      <w:proofErr w:type="spellEnd"/>
      <w:r>
        <w:t xml:space="preserve"> auch die Aufwände für die wissenschaftlichen Tätigkeiten (Führung des Krebsregisters, gesundheitsstatistische Auswertungen). Das Thema Gender ist für die </w:t>
      </w:r>
      <w:proofErr w:type="spellStart"/>
      <w:r>
        <w:t>aks</w:t>
      </w:r>
      <w:proofErr w:type="spellEnd"/>
      <w:r>
        <w:t xml:space="preserve"> </w:t>
      </w:r>
      <w:proofErr w:type="spellStart"/>
      <w:r>
        <w:t>gesundheit</w:t>
      </w:r>
      <w:proofErr w:type="spellEnd"/>
      <w:r>
        <w:t xml:space="preserve"> GmbH ein Querschnittsthema, das allgemein in ihre Projekte und Programme einfließt.</w:t>
      </w:r>
    </w:p>
    <w:p w:rsidR="00566CE0" w:rsidRDefault="00566CE0" w:rsidP="00566CE0">
      <w:pPr>
        <w:pStyle w:val="Textkrper"/>
        <w:jc w:val="both"/>
        <w:rPr>
          <w:color w:val="000000"/>
          <w:u w:val="single"/>
        </w:rPr>
      </w:pPr>
      <w:r>
        <w:rPr>
          <w:u w:val="single"/>
        </w:rPr>
        <w:t>Umsetzung Gender Mainstreaming</w:t>
      </w:r>
    </w:p>
    <w:p w:rsidR="00566CE0" w:rsidRDefault="000135AD" w:rsidP="00566CE0">
      <w:pPr>
        <w:pStyle w:val="Textkrper"/>
        <w:jc w:val="both"/>
        <w:rPr>
          <w:color w:val="000000"/>
          <w:u w:val="single" w:color="000000"/>
        </w:rPr>
      </w:pPr>
      <w:r>
        <w:t>D</w:t>
      </w:r>
      <w:r w:rsidR="00566CE0">
        <w:t>as „Gesundheitskompetenz – Impfprojekt“, das auf Elternbeteiligung setzt, hier sind die Elterngruppen, Interviews und Fokusgruppen im Rahmen des Projekts möglichst divers ausgerichtet und legen Wert darauf, dass sich auch Väter beteiligen. Im Rahmen des Projekts entstehen u.a. auch „Impfentscheidungshilfen“, die eine selbstbestimmte Entscheidung der Eltern erleichtern sollen. Durch die Impfentscheidungshilfen sollen sich Mütter und Väter gleichermaßen auf leicht verständliche Art und Weise faktenbasiert informieren können, um die richtige Entscheidung zu treffen.</w:t>
      </w:r>
    </w:p>
    <w:p w:rsidR="00566CE0" w:rsidRDefault="000135AD" w:rsidP="00566CE0">
      <w:pPr>
        <w:pStyle w:val="Textkrper"/>
        <w:jc w:val="both"/>
        <w:rPr>
          <w:color w:val="000000"/>
        </w:rPr>
      </w:pPr>
      <w:r>
        <w:t>D</w:t>
      </w:r>
      <w:r w:rsidR="00566CE0">
        <w:t xml:space="preserve">as Projekt „Auf gesunde Nachbarschaft – von klein auf“ wurde extern evaluiert. Übergeordnetes Ziel des Projektes ist die Erhöhung gesundheitlicher Chancengerechtigkeit von Kindern auf kommunaler Ebene. Mit dem Projekt werden direkte und indirekte Zielgruppen adressiert. Direkte Zielgruppe sind Familien mit Neugeborenen und Familien mit Kindern bis zu fünf Jahren, die neu zugezogen sind. Indirekte Zielgruppen sind Fachpersonen aus kommunalen Einrichtungen, Institutionen, Vereinen und private Angebote, die auf die Zielgruppe ausgerichtet sind, sowie MitarbeiterInnen aus der Gemeindeverwaltung und der Politik sowie </w:t>
      </w:r>
      <w:proofErr w:type="spellStart"/>
      <w:r w:rsidR="00566CE0">
        <w:t>GemeindebewohnerInnen</w:t>
      </w:r>
      <w:proofErr w:type="spellEnd"/>
      <w:r w:rsidR="00566CE0">
        <w:t xml:space="preserve">. </w:t>
      </w:r>
    </w:p>
    <w:p w:rsidR="00566CE0" w:rsidRDefault="00566CE0" w:rsidP="00566CE0">
      <w:pPr>
        <w:pStyle w:val="Textkrper"/>
        <w:jc w:val="both"/>
        <w:rPr>
          <w:color w:val="000000"/>
        </w:rPr>
      </w:pPr>
      <w:r>
        <w:t xml:space="preserve">Durch die Implementierung nachhaltiger Kooperationsstrukturen in den beteiligten Gemeinden (Alberschwende, Dornbirn, Frastanz und Lauterach) sollen den Familien bestehende regionale und kommunale Angebote und Maßnahmen nahegebracht werden. Diese Angebote werden untereinander vernetzt und abgestimmt und im Bedarfsfall weitere Maßnahmen, die Familien mit Kindern unterstützen, implementiert. Die möglichen Bedarfe werden bei der Zielgruppe und den Fachpersonen erhoben. </w:t>
      </w:r>
    </w:p>
    <w:p w:rsidR="00566CE0" w:rsidRDefault="000135AD" w:rsidP="00566CE0">
      <w:pPr>
        <w:pStyle w:val="Textkrper"/>
        <w:jc w:val="both"/>
        <w:rPr>
          <w:i/>
          <w:color w:val="000000"/>
        </w:rPr>
      </w:pPr>
      <w:r>
        <w:t>Im Mittelpunkt</w:t>
      </w:r>
      <w:r w:rsidR="00566CE0">
        <w:t xml:space="preserve"> des Projektes </w:t>
      </w:r>
      <w:r>
        <w:t>steht</w:t>
      </w:r>
      <w:r w:rsidR="00566CE0">
        <w:t xml:space="preserve"> der Aufbau eines </w:t>
      </w:r>
      <w:proofErr w:type="spellStart"/>
      <w:r w:rsidR="00566CE0">
        <w:t>FamilienlotsInnen</w:t>
      </w:r>
      <w:proofErr w:type="spellEnd"/>
      <w:r w:rsidR="00566CE0">
        <w:t xml:space="preserve">-Systems aus ehrenamtlichen, eigens ausgebildeten </w:t>
      </w:r>
      <w:proofErr w:type="spellStart"/>
      <w:r w:rsidR="00566CE0">
        <w:t>FamilienlotsInnen</w:t>
      </w:r>
      <w:proofErr w:type="spellEnd"/>
      <w:r w:rsidR="00566CE0">
        <w:t xml:space="preserve">, das von einer Projektleiterin und einer Projektkoordinatorin aus der Gemeindeverwaltung und -politik koordiniert wird. In allen Gemeinden konnten ausreichend Familienlotsinnen gefunden werden. Dass es sich nur um Frauen handelt, war keine Vorgabe des Projektes, sondern ergab sich durch das ausbleibende Interesse von Männern. Die Qualitätssicherung erfolgt durch die Einbettung der </w:t>
      </w:r>
      <w:proofErr w:type="spellStart"/>
      <w:r w:rsidR="00566CE0">
        <w:t>FamilienlotsInnen</w:t>
      </w:r>
      <w:proofErr w:type="spellEnd"/>
      <w:r w:rsidR="00566CE0">
        <w:t xml:space="preserve"> bei Netzwerk Familie und dessen Qualifizierungs- und Vernetzungsangeboten. </w:t>
      </w:r>
    </w:p>
    <w:p w:rsidR="00566CE0" w:rsidRDefault="00566CE0" w:rsidP="00566CE0">
      <w:pPr>
        <w:pStyle w:val="Textkrper"/>
        <w:jc w:val="both"/>
        <w:rPr>
          <w:color w:val="000000"/>
        </w:rPr>
      </w:pPr>
      <w:r>
        <w:t>Das Projekt „Willkommensmappe für werdende Eltern, das für 2019 geplant war, wurde aus finanziellen Gründen bis dato nicht gedruckt und ist daher nicht im Umlauf.</w:t>
      </w:r>
    </w:p>
    <w:p w:rsidR="00566CE0" w:rsidRDefault="00566CE0" w:rsidP="00566CE0">
      <w:pPr>
        <w:pStyle w:val="Textkrper"/>
        <w:jc w:val="both"/>
        <w:rPr>
          <w:b/>
          <w:color w:val="000000"/>
        </w:rPr>
      </w:pPr>
      <w:r>
        <w:rPr>
          <w:u w:val="single"/>
        </w:rPr>
        <w:t>Geplante Aufwendungen:</w:t>
      </w:r>
      <w:r w:rsidRPr="000378BB">
        <w:t xml:space="preserve"> </w:t>
      </w:r>
      <w:r w:rsidR="000378BB">
        <w:t>€ 556.</w:t>
      </w:r>
      <w:proofErr w:type="gramStart"/>
      <w:r w:rsidR="000378BB">
        <w:t>000,</w:t>
      </w:r>
      <w:r>
        <w:t>--</w:t>
      </w:r>
      <w:proofErr w:type="gramEnd"/>
    </w:p>
    <w:p w:rsidR="00566CE0" w:rsidRDefault="00566CE0"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4400 Sanitätsangelegenheiten</w:t>
      </w:r>
      <w:r>
        <w:rPr>
          <w:b/>
        </w:rPr>
        <w:br/>
        <w:t>Voranschlagstelle: 1-519004-7670-111 Aktionen zur Hebung der Volksgesundheit</w:t>
      </w:r>
    </w:p>
    <w:p w:rsidR="00566CE0" w:rsidRDefault="00566CE0" w:rsidP="00566CE0">
      <w:pPr>
        <w:pStyle w:val="Textkrper"/>
        <w:jc w:val="both"/>
        <w:rPr>
          <w:color w:val="000000"/>
          <w:u w:val="single"/>
        </w:rPr>
      </w:pPr>
      <w:r>
        <w:rPr>
          <w:u w:val="single"/>
        </w:rPr>
        <w:t>Situation:</w:t>
      </w:r>
    </w:p>
    <w:p w:rsidR="00566CE0" w:rsidRDefault="00566CE0" w:rsidP="00566CE0">
      <w:pPr>
        <w:pStyle w:val="Textkrper"/>
        <w:jc w:val="both"/>
        <w:rPr>
          <w:b/>
          <w:color w:val="000000"/>
        </w:rPr>
      </w:pPr>
      <w:proofErr w:type="spellStart"/>
      <w:r w:rsidRPr="005F3BEE">
        <w:t>fonds</w:t>
      </w:r>
      <w:proofErr w:type="spellEnd"/>
      <w:r w:rsidRPr="005F3BEE">
        <w:t xml:space="preserve"> gesunde betriebe </w:t>
      </w:r>
      <w:proofErr w:type="spellStart"/>
      <w:r w:rsidRPr="005F3BEE">
        <w:t>vorarlberg</w:t>
      </w:r>
      <w:proofErr w:type="spellEnd"/>
      <w:r w:rsidR="000135AD">
        <w:rPr>
          <w:b/>
        </w:rPr>
        <w:t xml:space="preserve">: </w:t>
      </w:r>
      <w:r>
        <w:t>Der "</w:t>
      </w:r>
      <w:proofErr w:type="spellStart"/>
      <w:r>
        <w:t>fonds</w:t>
      </w:r>
      <w:proofErr w:type="spellEnd"/>
      <w:r>
        <w:t xml:space="preserve"> gesunde betriebe </w:t>
      </w:r>
      <w:proofErr w:type="spellStart"/>
      <w:r>
        <w:t>vorarlberg</w:t>
      </w:r>
      <w:proofErr w:type="spellEnd"/>
      <w:r>
        <w:t>" wurde 2015 von der Vorarlberger Landesregierung und der Vorarlberger Gebietskrankenkasse gegründet. Weitere Mitglieder sind die Sozialversicherungsanstalt der gewerblichen Wirtschaft, die Versicherungsanstalt öffentlich Bediensteter und die Sozialversicherungsanstalt der Bauern. Ziel ist es, Betriebe sowie Einrichtungen mit Öffentlichkeitscharakter, die ihren Sitz in Vorarlberg haben, bei der Durchführung von „Betrieblichen Gesundheitsförderungsprojekten“ finanziell und fachlich zu unterstützen.</w:t>
      </w:r>
      <w:r>
        <w:rPr>
          <w:b/>
        </w:rPr>
        <w:t xml:space="preserve">    </w:t>
      </w:r>
      <w:r>
        <w:rPr>
          <w:b/>
          <w:sz w:val="20"/>
        </w:rPr>
        <w:t xml:space="preserve">                                     </w:t>
      </w:r>
    </w:p>
    <w:p w:rsidR="00566CE0" w:rsidRDefault="00566CE0" w:rsidP="00566CE0">
      <w:pPr>
        <w:pStyle w:val="Textkrper"/>
        <w:jc w:val="both"/>
        <w:rPr>
          <w:color w:val="000000"/>
          <w:u w:val="single"/>
        </w:rPr>
      </w:pPr>
      <w:r>
        <w:rPr>
          <w:u w:val="single"/>
        </w:rPr>
        <w:t>Maßnahmen/Ziele:</w:t>
      </w:r>
    </w:p>
    <w:p w:rsidR="00566CE0" w:rsidRPr="000378BB" w:rsidRDefault="00FA4FEF" w:rsidP="00FA4FEF">
      <w:pPr>
        <w:pStyle w:val="Flietext"/>
        <w:rPr>
          <w:color w:val="000000"/>
          <w:sz w:val="22"/>
          <w:szCs w:val="22"/>
        </w:rPr>
      </w:pPr>
      <w:r w:rsidRPr="000378BB">
        <w:rPr>
          <w:sz w:val="22"/>
          <w:szCs w:val="22"/>
        </w:rPr>
        <w:t xml:space="preserve">Künftig wird bei Projekteinreichungen Gender Mainstreaming in folgenden Punkten beschrieben:    Ausgangssituation (Darstellung der Unterschiede zwischen den Geschlechtern oder Geschlechterrelevanz des </w:t>
      </w:r>
      <w:r w:rsidR="000378BB">
        <w:rPr>
          <w:sz w:val="22"/>
          <w:szCs w:val="22"/>
        </w:rPr>
        <w:t xml:space="preserve">Themas); </w:t>
      </w:r>
      <w:r w:rsidRPr="000378BB">
        <w:rPr>
          <w:sz w:val="22"/>
          <w:szCs w:val="22"/>
        </w:rPr>
        <w:t xml:space="preserve">Zielgruppe (Geschlecht, Alter, soziokultureller </w:t>
      </w:r>
      <w:proofErr w:type="spellStart"/>
      <w:r w:rsidRPr="000378BB">
        <w:rPr>
          <w:sz w:val="22"/>
          <w:szCs w:val="22"/>
        </w:rPr>
        <w:t>Hintergund</w:t>
      </w:r>
      <w:proofErr w:type="spellEnd"/>
      <w:r w:rsidRPr="000378BB">
        <w:rPr>
          <w:sz w:val="22"/>
          <w:szCs w:val="22"/>
        </w:rPr>
        <w:t>); Zielsetzung (Definition von Gleichstellungszielen, Planung entsprechender Maßnahmen; Maßnahmenplanung (Maßnahmen berücksichtigen frauen- und männerspezifische Zugänge); Bei den Kriterien und Indikatoren zur Bewertung von Projekten werden Projekte unter anderem nach dem Kriterium "Ganzheitliches Gesundheitsverständnis unter Berücksichtigung von Ge</w:t>
      </w:r>
      <w:r w:rsidR="000378BB">
        <w:rPr>
          <w:sz w:val="22"/>
          <w:szCs w:val="22"/>
        </w:rPr>
        <w:t>nder Mainstreaming" bewertet.</w:t>
      </w:r>
    </w:p>
    <w:p w:rsidR="00566CE0" w:rsidRPr="000378BB" w:rsidRDefault="00566CE0" w:rsidP="00566CE0">
      <w:pPr>
        <w:pStyle w:val="Textkrper"/>
        <w:jc w:val="both"/>
        <w:rPr>
          <w:color w:val="000000"/>
          <w:szCs w:val="22"/>
        </w:rPr>
      </w:pPr>
      <w:r w:rsidRPr="000378BB">
        <w:rPr>
          <w:szCs w:val="22"/>
        </w:rPr>
        <w:t>Bei den Kriterien und Indikatoren zur Bewertung von Projekten werden Projekte unter anderem nach dem Kriterium "Ganzheitliches Gesundheitsverständnis unter Berücksichtigung von Gender Mainstreaming" bewertet.  Für 2020 sind keine Änderungen bzgl. Gend</w:t>
      </w:r>
      <w:r w:rsidR="000378BB">
        <w:rPr>
          <w:szCs w:val="22"/>
        </w:rPr>
        <w:t>er im Antragswesen vorgesehen.</w:t>
      </w:r>
    </w:p>
    <w:p w:rsidR="00566CE0" w:rsidRDefault="00566CE0"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4400 Sanitätsangelegenheiten</w:t>
      </w:r>
      <w:r>
        <w:rPr>
          <w:b/>
        </w:rPr>
        <w:br/>
        <w:t>Voranschlagstelle: 1-542004-7690-022 Beiträge zum Besuch von Krankenpflegeschulen /Fachhochschulen</w:t>
      </w:r>
    </w:p>
    <w:p w:rsidR="00566CE0" w:rsidRDefault="00566CE0" w:rsidP="00566CE0">
      <w:pPr>
        <w:pStyle w:val="Textkrper"/>
        <w:jc w:val="both"/>
        <w:rPr>
          <w:color w:val="000000"/>
          <w:u w:val="single"/>
        </w:rPr>
      </w:pPr>
      <w:r>
        <w:rPr>
          <w:u w:val="single"/>
        </w:rPr>
        <w:t>Situation und daraus entstehende Fragen:</w:t>
      </w:r>
    </w:p>
    <w:p w:rsidR="00566CE0" w:rsidRDefault="00566CE0" w:rsidP="00566CE0">
      <w:pPr>
        <w:pStyle w:val="Textkrper"/>
        <w:jc w:val="both"/>
        <w:rPr>
          <w:color w:val="000000"/>
        </w:rPr>
      </w:pPr>
      <w:proofErr w:type="spellStart"/>
      <w:r>
        <w:t>AbsolventInnen</w:t>
      </w:r>
      <w:proofErr w:type="spellEnd"/>
      <w:r>
        <w:t xml:space="preserve"> der Schule für Sozialbetreuungsberufe Altenarbeit und Familienarbeit</w:t>
      </w:r>
      <w:r w:rsidR="00FA4FEF">
        <w:t>:</w:t>
      </w:r>
      <w:r>
        <w:t xml:space="preserve"> Die gesetzliche Grundlage der Schule ist die Vereinbarung gem. Art. 15a B-VG zwischen Bund und Ländern vom Juni 2005, wobei in dieser Vereinbarung Gender Mainstreaming bereits berücksichtigt wurde.</w:t>
      </w:r>
      <w:r w:rsidR="00FA4FEF">
        <w:t xml:space="preserve"> </w:t>
      </w:r>
      <w:r>
        <w:t>Fach-Sozialbetreuer/innen erfassen die spezifische Lebenssituation älterer oder behinderter bzw. benachteiligter Menschen ganzheitlich und entsprechen den individuellen Bedürfnissen durch gezielte Maßnahmen. Sie leisten dadurch einen Beitrag zur Erhöhung und/oder Erhaltung ihrer Lebensqualität, unterstützen die Gestaltung eines für sie lebenswerten sozialen Umfeldes und leisten damit einen Beitrag zu einem Leben in Würde.</w:t>
      </w:r>
    </w:p>
    <w:p w:rsidR="000373B6" w:rsidRPr="000378BB" w:rsidRDefault="000373B6" w:rsidP="000373B6">
      <w:pPr>
        <w:jc w:val="both"/>
        <w:rPr>
          <w:i/>
          <w:szCs w:val="22"/>
        </w:rPr>
      </w:pPr>
      <w:r w:rsidRPr="000378BB">
        <w:rPr>
          <w:szCs w:val="22"/>
        </w:rPr>
        <w:t xml:space="preserve">Bei den </w:t>
      </w:r>
      <w:proofErr w:type="spellStart"/>
      <w:r w:rsidRPr="000378BB">
        <w:rPr>
          <w:szCs w:val="22"/>
        </w:rPr>
        <w:t>AbsolventInnen</w:t>
      </w:r>
      <w:proofErr w:type="spellEnd"/>
      <w:r w:rsidRPr="000378BB">
        <w:rPr>
          <w:szCs w:val="22"/>
        </w:rPr>
        <w:t xml:space="preserve"> der Familienarbeit überwiegen nach wie vor die Frauen, bei der Altenarbeit war in den Jahren 2014 bis 2017 ein deutlicher Anstieg von </w:t>
      </w:r>
      <w:proofErr w:type="spellStart"/>
      <w:r w:rsidRPr="000378BB">
        <w:rPr>
          <w:szCs w:val="22"/>
        </w:rPr>
        <w:t>AbsolventInnen</w:t>
      </w:r>
      <w:proofErr w:type="spellEnd"/>
      <w:r w:rsidRPr="000378BB">
        <w:rPr>
          <w:szCs w:val="22"/>
        </w:rPr>
        <w:t xml:space="preserve"> bei Frauen und Männern zu beobachten, der aber ab 2017 wieder abnahm (Absolventen/-Innen 2016: Frauen 47; Männer: 13; Absolventen/-Innen: 2020: Frauen: </w:t>
      </w:r>
      <w:proofErr w:type="gramStart"/>
      <w:r w:rsidRPr="000378BB">
        <w:rPr>
          <w:szCs w:val="22"/>
        </w:rPr>
        <w:t>38;  Männer</w:t>
      </w:r>
      <w:proofErr w:type="gramEnd"/>
      <w:r w:rsidRPr="000378BB">
        <w:rPr>
          <w:szCs w:val="22"/>
        </w:rPr>
        <w:t xml:space="preserve">: 11). </w:t>
      </w:r>
      <w:proofErr w:type="spellStart"/>
      <w:r w:rsidRPr="000378BB">
        <w:rPr>
          <w:szCs w:val="22"/>
        </w:rPr>
        <w:t>AbsolventInnen</w:t>
      </w:r>
      <w:proofErr w:type="spellEnd"/>
      <w:r w:rsidRPr="000378BB">
        <w:rPr>
          <w:szCs w:val="22"/>
        </w:rPr>
        <w:t xml:space="preserve"> haben meistens schon bei Schulschluss eine Arbeitsstelle. </w:t>
      </w:r>
      <w:proofErr w:type="spellStart"/>
      <w:r w:rsidRPr="000378BB">
        <w:rPr>
          <w:szCs w:val="22"/>
        </w:rPr>
        <w:t>AbsolventInnen</w:t>
      </w:r>
      <w:proofErr w:type="spellEnd"/>
      <w:r w:rsidRPr="000378BB">
        <w:rPr>
          <w:szCs w:val="22"/>
        </w:rPr>
        <w:t xml:space="preserve"> der Ausbildung Familienarbeit gehen manchmal in die Pflege, kehren aber oft in die Familienarbeit zurück, und bleiben somit dem Berufszweig erhalten</w:t>
      </w:r>
      <w:r w:rsidR="000378BB">
        <w:rPr>
          <w:szCs w:val="22"/>
        </w:rPr>
        <w:t>.</w:t>
      </w:r>
    </w:p>
    <w:p w:rsidR="000373B6" w:rsidRPr="000378BB" w:rsidRDefault="000373B6" w:rsidP="000373B6">
      <w:pPr>
        <w:pStyle w:val="Flietext"/>
        <w:rPr>
          <w:rFonts w:cs="Verdana"/>
          <w:sz w:val="22"/>
          <w:szCs w:val="22"/>
          <w:u w:val="single"/>
        </w:rPr>
      </w:pPr>
      <w:r w:rsidRPr="000378BB">
        <w:rPr>
          <w:sz w:val="22"/>
          <w:szCs w:val="22"/>
          <w:u w:val="single"/>
        </w:rPr>
        <w:t>Maßnahmen/Ziele:</w:t>
      </w:r>
    </w:p>
    <w:p w:rsidR="000373B6" w:rsidRPr="000378BB" w:rsidRDefault="000373B6" w:rsidP="000373B6">
      <w:pPr>
        <w:jc w:val="both"/>
        <w:rPr>
          <w:szCs w:val="22"/>
        </w:rPr>
      </w:pPr>
      <w:r w:rsidRPr="000378BB">
        <w:rPr>
          <w:szCs w:val="22"/>
        </w:rPr>
        <w:t xml:space="preserve">Es wird jährlich eine neue Klasse eröffnet, seit dem Jahr 2012/2013 eine Zusatzklasse im Bereich Altenarbeit. Unverändert ist der Pflegeberuf und der Beruf des Diplom- und Fachsozialbetreuers für Familienhilfe und Altenpflege weiblich dominiert. Es wird gezielt Werbung gemacht, um mehr Männer für diesen Beruf zu begeistern (-neue Facebook-Seite, Teilnahme am "Boys Day"). Dies kann sowohl aufgrund fehlender Anerkennung in Pflegeberufen als auch </w:t>
      </w:r>
      <w:proofErr w:type="spellStart"/>
      <w:r w:rsidRPr="000378BB">
        <w:rPr>
          <w:szCs w:val="22"/>
        </w:rPr>
        <w:t>auch</w:t>
      </w:r>
      <w:proofErr w:type="spellEnd"/>
      <w:r w:rsidRPr="000378BB">
        <w:rPr>
          <w:szCs w:val="22"/>
        </w:rPr>
        <w:t xml:space="preserve"> in höheren Gehaltsvorstellungen begründ</w:t>
      </w:r>
      <w:r w:rsidR="000378BB">
        <w:rPr>
          <w:szCs w:val="22"/>
        </w:rPr>
        <w:t>et sein.</w:t>
      </w:r>
    </w:p>
    <w:p w:rsidR="00566CE0" w:rsidRPr="000378BB" w:rsidRDefault="00566CE0" w:rsidP="00566CE0">
      <w:pPr>
        <w:pStyle w:val="Textkrper"/>
        <w:jc w:val="both"/>
        <w:rPr>
          <w:color w:val="000000"/>
          <w:szCs w:val="22"/>
        </w:rPr>
      </w:pPr>
      <w:r w:rsidRPr="000378BB">
        <w:rPr>
          <w:szCs w:val="22"/>
          <w:u w:val="single"/>
        </w:rPr>
        <w:t>Ziel:</w:t>
      </w:r>
      <w:r w:rsidR="000378BB">
        <w:rPr>
          <w:szCs w:val="22"/>
        </w:rPr>
        <w:t xml:space="preserve"> </w:t>
      </w:r>
      <w:r w:rsidRPr="000378BB">
        <w:rPr>
          <w:szCs w:val="22"/>
        </w:rPr>
        <w:t>Mehr Männer für d</w:t>
      </w:r>
      <w:r w:rsidR="000378BB">
        <w:rPr>
          <w:szCs w:val="22"/>
        </w:rPr>
        <w:t xml:space="preserve">iesen Berufszweig zu gewinnen </w:t>
      </w:r>
    </w:p>
    <w:p w:rsidR="00566CE0" w:rsidRDefault="00566CE0" w:rsidP="00566CE0">
      <w:pPr>
        <w:pStyle w:val="Textkrper"/>
        <w:jc w:val="both"/>
        <w:rPr>
          <w:color w:val="000000"/>
        </w:rPr>
      </w:pPr>
      <w:r>
        <w:rPr>
          <w:u w:val="single"/>
        </w:rPr>
        <w:t>Geplante Aufwendungen:</w:t>
      </w:r>
      <w:r w:rsidRPr="000378BB">
        <w:t xml:space="preserve"> </w:t>
      </w:r>
      <w:r>
        <w:t>€ 100.</w:t>
      </w:r>
      <w:proofErr w:type="gramStart"/>
      <w:r>
        <w:t>000,--</w:t>
      </w:r>
      <w:proofErr w:type="gramEnd"/>
    </w:p>
    <w:p w:rsidR="00566CE0" w:rsidRDefault="00566CE0" w:rsidP="00566CE0">
      <w:pPr>
        <w:pStyle w:val="Textkrper"/>
        <w:jc w:val="both"/>
      </w:pPr>
    </w:p>
    <w:p w:rsidR="000373B6" w:rsidRDefault="000373B6"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4500 Umwelt- und Klimaschutz</w:t>
      </w:r>
      <w:r>
        <w:rPr>
          <w:b/>
        </w:rPr>
        <w:br/>
        <w:t>Voranschlagstelle: 1-520104-7670-001 Beiträge an Naturschutzorganisationen</w:t>
      </w:r>
    </w:p>
    <w:p w:rsidR="00566CE0" w:rsidRDefault="00566CE0" w:rsidP="00566CE0">
      <w:pPr>
        <w:pStyle w:val="Textkrper"/>
        <w:jc w:val="both"/>
      </w:pPr>
      <w:r>
        <w:t>Bei den geförderten Naturschutzorganisationen sind mehr als 50 % der Vereinsvorstandsmitglieder weiblich besetzt.</w:t>
      </w:r>
    </w:p>
    <w:p w:rsidR="00566CE0" w:rsidRDefault="00566CE0" w:rsidP="00566CE0">
      <w:pPr>
        <w:pStyle w:val="Textkrper"/>
        <w:jc w:val="both"/>
        <w:rPr>
          <w:color w:val="000000"/>
        </w:rPr>
      </w:pPr>
    </w:p>
    <w:p w:rsidR="000373B6" w:rsidRDefault="000373B6" w:rsidP="00566CE0">
      <w:pPr>
        <w:pStyle w:val="Textkrper"/>
        <w:jc w:val="both"/>
        <w:rPr>
          <w:color w:val="000000"/>
        </w:rPr>
      </w:pPr>
    </w:p>
    <w:p w:rsidR="00566CE0" w:rsidRDefault="00566CE0" w:rsidP="00566CE0">
      <w:pPr>
        <w:pStyle w:val="Textkrper"/>
        <w:pBdr>
          <w:bottom w:val="single" w:sz="4" w:space="1" w:color="auto"/>
        </w:pBdr>
        <w:rPr>
          <w:b/>
        </w:rPr>
      </w:pPr>
      <w:r>
        <w:rPr>
          <w:b/>
        </w:rPr>
        <w:t>Bewirtschafter/Abteilung: 7100 Raumplanung und Baurecht</w:t>
      </w:r>
      <w:r>
        <w:rPr>
          <w:b/>
        </w:rPr>
        <w:br/>
        <w:t>Voranschlagstelle: 1-022005-7670-000 Landesbeiträge zur Basisförderung der regionalen Zusammenarbeit</w:t>
      </w:r>
    </w:p>
    <w:p w:rsidR="00566CE0" w:rsidRDefault="00566CE0" w:rsidP="00566CE0">
      <w:pPr>
        <w:pStyle w:val="Textkrper"/>
        <w:jc w:val="both"/>
        <w:rPr>
          <w:color w:val="000000"/>
          <w:sz w:val="26"/>
          <w:u w:val="single" w:color="000000"/>
        </w:rPr>
      </w:pPr>
      <w:r>
        <w:rPr>
          <w:u w:val="single"/>
        </w:rPr>
        <w:t>Situation und daraus entstehende Fragen</w:t>
      </w:r>
    </w:p>
    <w:p w:rsidR="00566CE0" w:rsidRDefault="00566CE0" w:rsidP="00566CE0">
      <w:pPr>
        <w:pStyle w:val="Textkrper"/>
        <w:jc w:val="both"/>
        <w:rPr>
          <w:color w:val="000000"/>
          <w:sz w:val="26"/>
        </w:rPr>
      </w:pPr>
      <w:r>
        <w:t>Um den Ziel einer gerechten Verteilung eingesetzter Mittel der öffentlichen Hand unter den Geschlechtern gerecht zu werden wurde in den allgemeinen Förderungsgrundsätzen der Landesregierung im Bereich Raumplanung unter Punkt (8) folgender Passus aufgenommen:</w:t>
      </w:r>
    </w:p>
    <w:p w:rsidR="00566CE0" w:rsidRDefault="00566CE0" w:rsidP="00566CE0">
      <w:pPr>
        <w:pStyle w:val="Textkrper"/>
        <w:jc w:val="both"/>
        <w:rPr>
          <w:i/>
          <w:color w:val="000000"/>
          <w:sz w:val="26"/>
        </w:rPr>
      </w:pPr>
      <w:r>
        <w:rPr>
          <w:i/>
        </w:rPr>
        <w:t>„Auf die Grundsätze der Antidiskriminierung und insbesondere auf die Chancengleichheit von Frauen und Männern ist Bedacht zu nehmen.“</w:t>
      </w:r>
    </w:p>
    <w:p w:rsidR="00566CE0" w:rsidRDefault="00566CE0" w:rsidP="00566CE0">
      <w:pPr>
        <w:pStyle w:val="Textkrper"/>
        <w:jc w:val="both"/>
        <w:rPr>
          <w:color w:val="000000"/>
          <w:sz w:val="26"/>
          <w:u w:val="single" w:color="000000"/>
        </w:rPr>
      </w:pPr>
      <w:r>
        <w:rPr>
          <w:u w:val="single"/>
        </w:rPr>
        <w:t>Maßnahmen/Ziele</w:t>
      </w:r>
    </w:p>
    <w:p w:rsidR="00566CE0" w:rsidRDefault="00566CE0" w:rsidP="00566CE0">
      <w:pPr>
        <w:pStyle w:val="Textkrper"/>
        <w:jc w:val="both"/>
        <w:rPr>
          <w:color w:val="000000"/>
          <w:sz w:val="26"/>
        </w:rPr>
      </w:pPr>
      <w:r>
        <w:t xml:space="preserve">Nach § 5 Abs. 3 der </w:t>
      </w:r>
      <w:r>
        <w:rPr>
          <w:b/>
        </w:rPr>
        <w:t xml:space="preserve">Richtlinie der Landesregierung über die Förderung von </w:t>
      </w:r>
      <w:proofErr w:type="spellStart"/>
      <w:r>
        <w:rPr>
          <w:b/>
        </w:rPr>
        <w:t>Regios</w:t>
      </w:r>
      <w:proofErr w:type="spellEnd"/>
      <w:r>
        <w:t xml:space="preserve"> ist es möglich, dass eine fachlich zuständige Abteilung des Amtes der Landesregierung beim Abschluss von Zielvereinbarungen regionale Ziele zu Gender-Themen ausverhandelt, die dann von der Landesregierung und den Gemeindevertretungen innerhalb der Regio beschlossen werden. Eine Zielvereinbarung zwischen Land und Regio stellt eine Förderungsvoraussetzung dar. </w:t>
      </w:r>
    </w:p>
    <w:p w:rsidR="00566CE0" w:rsidRDefault="00566CE0" w:rsidP="00566CE0">
      <w:pPr>
        <w:pStyle w:val="Textkrper"/>
        <w:jc w:val="both"/>
        <w:rPr>
          <w:color w:val="000000"/>
          <w:sz w:val="26"/>
        </w:rPr>
      </w:pPr>
      <w:r>
        <w:t>Beim Abschluss der Zielvereinbarungen der ersten Förderperiode über drei Jahre war dies jedoch nicht der Fall. Die nächste Gelegenheit ergibt sich hierfür im Jahr 2021.</w:t>
      </w:r>
    </w:p>
    <w:p w:rsidR="00566CE0" w:rsidRDefault="00566CE0" w:rsidP="00566CE0">
      <w:pPr>
        <w:pStyle w:val="Textkrper"/>
        <w:jc w:val="both"/>
        <w:rPr>
          <w:color w:val="000000"/>
          <w:sz w:val="26"/>
          <w:u w:val="single" w:color="000000"/>
        </w:rPr>
      </w:pPr>
      <w:r>
        <w:rPr>
          <w:u w:val="single"/>
        </w:rPr>
        <w:t xml:space="preserve">Geplante Aufwendungen </w:t>
      </w:r>
      <w:r>
        <w:t>€ 410.</w:t>
      </w:r>
      <w:proofErr w:type="gramStart"/>
      <w:r>
        <w:t>000</w:t>
      </w:r>
      <w:r w:rsidR="005B7BA6">
        <w:t>,--</w:t>
      </w:r>
      <w:proofErr w:type="gramEnd"/>
    </w:p>
    <w:p w:rsidR="00566CE0" w:rsidRDefault="00566CE0" w:rsidP="00566CE0">
      <w:pPr>
        <w:pStyle w:val="Textkrper"/>
        <w:jc w:val="both"/>
      </w:pPr>
    </w:p>
    <w:p w:rsidR="00566CE0" w:rsidRDefault="00566CE0" w:rsidP="00566CE0">
      <w:pPr>
        <w:pStyle w:val="Textkrper"/>
        <w:pBdr>
          <w:bottom w:val="single" w:sz="4" w:space="1" w:color="auto"/>
        </w:pBdr>
        <w:rPr>
          <w:b/>
        </w:rPr>
      </w:pPr>
      <w:r>
        <w:rPr>
          <w:b/>
        </w:rPr>
        <w:t>Bewirtschafter/Abteilung: 7100 Raumplanung und Baurecht</w:t>
      </w:r>
      <w:r>
        <w:rPr>
          <w:b/>
        </w:rPr>
        <w:br/>
        <w:t>Voranschlagstelle: 1-022009-7280-002 Raumbild Vorarlberg</w:t>
      </w:r>
    </w:p>
    <w:p w:rsidR="00566CE0" w:rsidRDefault="00566CE0" w:rsidP="00566CE0">
      <w:pPr>
        <w:pStyle w:val="Textkrper"/>
        <w:jc w:val="both"/>
        <w:rPr>
          <w:color w:val="000000"/>
          <w:sz w:val="26"/>
          <w:u w:val="single" w:color="000000"/>
        </w:rPr>
      </w:pPr>
      <w:r>
        <w:rPr>
          <w:u w:val="single"/>
        </w:rPr>
        <w:t>Situation und daraus entstehende Fragen</w:t>
      </w:r>
    </w:p>
    <w:p w:rsidR="00566CE0" w:rsidRDefault="00566CE0" w:rsidP="00566CE0">
      <w:pPr>
        <w:pStyle w:val="Textkrper"/>
        <w:jc w:val="both"/>
        <w:rPr>
          <w:color w:val="000000"/>
          <w:sz w:val="26"/>
        </w:rPr>
      </w:pPr>
      <w:r>
        <w:t>Wie kann man den vielen Ansprüchen an den Raum gerecht werden, Platz für Neues schaffen, Traditionen wahren und die hohe Lebensqualität sichern? Mit diesen und vielen anderen Fragen hat sich das Land Vorarlberg gemeinsam mit Expertinnen und Experten, Interessengruppen, Bürgerinnen und Bürgern in einem offenen und partnerschaftlichen Prozess über ein Jahr lang beschäftigt.</w:t>
      </w:r>
    </w:p>
    <w:p w:rsidR="00566CE0" w:rsidRDefault="00566CE0" w:rsidP="00566CE0">
      <w:pPr>
        <w:pStyle w:val="Textkrper"/>
        <w:jc w:val="both"/>
        <w:rPr>
          <w:color w:val="000000"/>
          <w:sz w:val="26"/>
        </w:rPr>
      </w:pPr>
      <w:r>
        <w:t>Als Ergebnis liegt nun mit dem „Raumbild Vorarlberg 2030“ erstmals ein Leitbild für die räumliche Entwicklung vor. Es baut auf den Stärken des Landes auf und hat das Ganze im Blick: Siedlungsraum, Wirtschaft, Mobilität, Natur, Landschaft und Gemeinwohl.</w:t>
      </w:r>
    </w:p>
    <w:p w:rsidR="00566CE0" w:rsidRDefault="00566CE0" w:rsidP="00566CE0">
      <w:pPr>
        <w:pStyle w:val="Textkrper"/>
        <w:jc w:val="both"/>
        <w:rPr>
          <w:color w:val="000000"/>
          <w:sz w:val="26"/>
        </w:rPr>
      </w:pPr>
      <w:r>
        <w:t xml:space="preserve">Das Raumbild Vorarlberg 2030 ist ein strategisches Leitbild und bindender Handlungsrahmen für das Land. Die Landesraumplanung und sonstige raumbezogene Planungen und Maßnahmen des Landes haben sich künftig am Raumbild zu orientieren. Darüber hinaus ist es auch ein strategisches Leitbild und Handlungsrahmen für die räumliche Entwicklung Vorarlbergs insgesamt, insbesondere für die </w:t>
      </w:r>
      <w:proofErr w:type="spellStart"/>
      <w:r>
        <w:t>Regios</w:t>
      </w:r>
      <w:proofErr w:type="spellEnd"/>
      <w:r>
        <w:t xml:space="preserve"> und Gemeinden.</w:t>
      </w:r>
    </w:p>
    <w:p w:rsidR="00566CE0" w:rsidRDefault="00566CE0" w:rsidP="00566CE0">
      <w:pPr>
        <w:pStyle w:val="Textkrper"/>
        <w:jc w:val="both"/>
        <w:rPr>
          <w:color w:val="000000"/>
          <w:sz w:val="26"/>
        </w:rPr>
      </w:pPr>
      <w:r>
        <w:t>Ein besonderes Augenmerk gilt im Raumbild Vorarlberg 2030 der Stärkung der regionalen Zusammenarbeit, der abgestimmten Entwicklung von Siedlung und Mobilität, dem Themenbereich Wirtschaft, Tourismus, Land- und Forstwirtschaft sowie dem Erhalt von Freiraum und Landschaft.</w:t>
      </w:r>
    </w:p>
    <w:p w:rsidR="00566CE0" w:rsidRDefault="00566CE0" w:rsidP="00566CE0">
      <w:pPr>
        <w:pStyle w:val="Textkrper"/>
        <w:jc w:val="both"/>
        <w:rPr>
          <w:color w:val="000000"/>
          <w:sz w:val="26"/>
          <w:u w:val="single" w:color="000000"/>
        </w:rPr>
      </w:pPr>
      <w:r>
        <w:rPr>
          <w:u w:val="single"/>
        </w:rPr>
        <w:t>Maßnahmen/Ziele</w:t>
      </w:r>
    </w:p>
    <w:p w:rsidR="00566CE0" w:rsidRDefault="00566CE0" w:rsidP="00566CE0">
      <w:pPr>
        <w:pStyle w:val="Textkrper"/>
        <w:jc w:val="both"/>
        <w:rPr>
          <w:color w:val="000000"/>
          <w:sz w:val="26"/>
        </w:rPr>
      </w:pPr>
      <w:r>
        <w:t>Im Raumbild Vorarlberg 2030 ist u. a. das Ziel formuliert, die Stadt- und Ortskerne lebenswert für alle zu halten &gt; „Die attraktiven öffentlichen R</w:t>
      </w:r>
      <w:r w:rsidR="005F3BEE">
        <w:t>ä</w:t>
      </w:r>
      <w:r>
        <w:t>ume laden Jung und Alt, Frauen und Männer, Personen aus allen Bevölkerungsschichten zum Flanieren, Verweilen und Kommunizieren ein.“</w:t>
      </w:r>
    </w:p>
    <w:p w:rsidR="00566CE0" w:rsidRDefault="00566CE0" w:rsidP="00566CE0">
      <w:pPr>
        <w:pStyle w:val="Textkrper"/>
        <w:jc w:val="both"/>
        <w:rPr>
          <w:color w:val="000000"/>
          <w:sz w:val="26"/>
        </w:rPr>
      </w:pPr>
      <w:r>
        <w:t>Die Umsetzung des Raumbilds erfolgt über Projekte. Die Abteilung VIIa agiert als Koordinationsstelle, setzt einige Projekte federführend um und wirkt gleichzeitig bei weiteren Projekten mit. Ein thematischer Schwerpunkt des Raumbildes ist die Weiterentwicklung des öffentlichen Raumes. Hier laden wir die fachlich zuständigen Abteilungen oder Fachbereiche ein, ein Projekt zum Thema „Frauen und Männer im öffentlichen Raum“ einzubringen.</w:t>
      </w:r>
    </w:p>
    <w:p w:rsidR="00566CE0" w:rsidRDefault="00566CE0" w:rsidP="00566CE0">
      <w:pPr>
        <w:pStyle w:val="Textkrper"/>
        <w:jc w:val="both"/>
        <w:rPr>
          <w:color w:val="000000"/>
          <w:sz w:val="26"/>
        </w:rPr>
      </w:pPr>
      <w:r>
        <w:rPr>
          <w:u w:val="single"/>
        </w:rPr>
        <w:t>Geplante Aufwendungen</w:t>
      </w:r>
      <w:r>
        <w:t>: €</w:t>
      </w:r>
      <w:r w:rsidR="005B7BA6">
        <w:t xml:space="preserve"> 124.</w:t>
      </w:r>
      <w:proofErr w:type="gramStart"/>
      <w:r w:rsidR="005B7BA6">
        <w:t>000,--</w:t>
      </w:r>
      <w:proofErr w:type="gramEnd"/>
      <w:r w:rsidR="005B7BA6">
        <w:t xml:space="preserve"> </w:t>
      </w:r>
    </w:p>
    <w:p w:rsidR="00566CE0" w:rsidRDefault="00566CE0"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7100 Raumplanung und Baurecht</w:t>
      </w:r>
      <w:r>
        <w:rPr>
          <w:b/>
        </w:rPr>
        <w:br/>
        <w:t>Voranschlagstelle: 1-249105-7355-001 I</w:t>
      </w:r>
      <w:r w:rsidR="005B7BA6">
        <w:rPr>
          <w:b/>
        </w:rPr>
        <w:t>nteressentenb</w:t>
      </w:r>
      <w:r>
        <w:rPr>
          <w:b/>
        </w:rPr>
        <w:t>eiträge a</w:t>
      </w:r>
      <w:r w:rsidR="005B7BA6">
        <w:rPr>
          <w:b/>
        </w:rPr>
        <w:t xml:space="preserve">n </w:t>
      </w:r>
      <w:r>
        <w:rPr>
          <w:b/>
        </w:rPr>
        <w:t>Gemeinden für Spielplätze und Spielräume</w:t>
      </w:r>
    </w:p>
    <w:p w:rsidR="00566CE0" w:rsidRDefault="00566CE0" w:rsidP="00566CE0">
      <w:pPr>
        <w:pStyle w:val="Textkrper"/>
        <w:jc w:val="both"/>
        <w:rPr>
          <w:color w:val="000000"/>
          <w:sz w:val="26"/>
          <w:u w:val="single" w:color="000000"/>
        </w:rPr>
      </w:pPr>
      <w:r>
        <w:rPr>
          <w:u w:val="single"/>
        </w:rPr>
        <w:t>Situation und daraus entstehende Fragen</w:t>
      </w:r>
    </w:p>
    <w:p w:rsidR="00566CE0" w:rsidRDefault="00566CE0" w:rsidP="00566CE0">
      <w:pPr>
        <w:pStyle w:val="Textkrper"/>
        <w:jc w:val="both"/>
        <w:rPr>
          <w:color w:val="000000"/>
          <w:sz w:val="26"/>
        </w:rPr>
      </w:pPr>
      <w:r>
        <w:t>Um den Ziel einer gerechten Verteilung eingesetzter Mittel der öffentlichen Hand unter den Geschlechtern gerecht zu werden wurde in den allgemeinen Förderungsgrundsätzen der Landesregierung im Bereich Raumplanung unter Punkt (8) folgender Passus aufgenommen:</w:t>
      </w:r>
    </w:p>
    <w:p w:rsidR="00566CE0" w:rsidRDefault="00566CE0" w:rsidP="00566CE0">
      <w:pPr>
        <w:pStyle w:val="Textkrper"/>
        <w:jc w:val="both"/>
        <w:rPr>
          <w:i/>
          <w:color w:val="000000"/>
          <w:sz w:val="26"/>
        </w:rPr>
      </w:pPr>
      <w:r>
        <w:rPr>
          <w:i/>
        </w:rPr>
        <w:t>„Auf die Grundsätze der Antidiskriminierung und insbesondere auf die Chancengleichheit von Frauen und Männern ist Bedacht zu nehmen.“</w:t>
      </w:r>
    </w:p>
    <w:p w:rsidR="00566CE0" w:rsidRDefault="00566CE0" w:rsidP="00566CE0">
      <w:pPr>
        <w:pStyle w:val="Textkrper"/>
        <w:jc w:val="both"/>
        <w:rPr>
          <w:color w:val="000000"/>
          <w:sz w:val="26"/>
          <w:u w:val="single" w:color="000000"/>
        </w:rPr>
      </w:pPr>
      <w:r>
        <w:rPr>
          <w:u w:val="single"/>
        </w:rPr>
        <w:t>Maßnahmen/Ziele</w:t>
      </w:r>
    </w:p>
    <w:p w:rsidR="00566CE0" w:rsidRDefault="00566CE0" w:rsidP="00566CE0">
      <w:pPr>
        <w:pStyle w:val="Textkrper"/>
        <w:jc w:val="both"/>
        <w:rPr>
          <w:color w:val="000000"/>
          <w:sz w:val="26"/>
        </w:rPr>
      </w:pPr>
      <w:r>
        <w:t xml:space="preserve">Nach § 4 Abs. 1 </w:t>
      </w:r>
      <w:proofErr w:type="spellStart"/>
      <w:r>
        <w:t>lit</w:t>
      </w:r>
      <w:proofErr w:type="spellEnd"/>
      <w:r>
        <w:t xml:space="preserve">. d) der </w:t>
      </w:r>
      <w:r>
        <w:rPr>
          <w:b/>
        </w:rPr>
        <w:t>Richtlinie der Landesregierung über die Förderung von Spielräumen</w:t>
      </w:r>
      <w:r>
        <w:t xml:space="preserve"> sind bei der Erstellung von Spielraumkonzepten nach § 3 Spielraumgesetz die Anspruchsgruppen repräsentativ und querschnittorientiert zu beteiligen. Zu den Mindestanforderungen zählt ausdrücklich, dass beide Geschlechter einen geeigneten Rahmen vorfinden, um ihre Bedürfnisse artikulieren zu können. Bloße Informationsveranstaltungen oder Befragungen ohne inhaltliche Rückkopplungsschleifen genügen den Mindestanforderungen nicht.</w:t>
      </w:r>
    </w:p>
    <w:p w:rsidR="00566CE0" w:rsidRDefault="00566CE0" w:rsidP="00566CE0">
      <w:pPr>
        <w:pStyle w:val="Textkrper"/>
        <w:jc w:val="both"/>
        <w:rPr>
          <w:color w:val="000000"/>
          <w:sz w:val="26"/>
        </w:rPr>
      </w:pPr>
      <w:r>
        <w:t xml:space="preserve">Zudem sind nach § 4 Abs. 2 </w:t>
      </w:r>
      <w:proofErr w:type="spellStart"/>
      <w:r>
        <w:t>lit</w:t>
      </w:r>
      <w:proofErr w:type="spellEnd"/>
      <w:r>
        <w:t xml:space="preserve"> b) der zuvor genannten Richtlinie auch bei der Planung von förderungsfähigen Spielräumen (Spielplätze, Jugendparks, Naturspielräume sowie Spiel- und Aktionsnischen) die Anspruchsgruppen repräsentativ und querschnittsorientiert zu beteiligen. Auch hier müssen beide Geschlechter einen geeigneten Rahmen vorfinden, im Ihre Bedürfnisse artikulieren zu können.</w:t>
      </w:r>
    </w:p>
    <w:p w:rsidR="00566CE0" w:rsidRDefault="00566CE0" w:rsidP="00566CE0">
      <w:pPr>
        <w:pStyle w:val="Textkrper"/>
        <w:jc w:val="both"/>
        <w:rPr>
          <w:color w:val="000000"/>
          <w:sz w:val="26"/>
        </w:rPr>
      </w:pPr>
      <w:r>
        <w:t xml:space="preserve">Des Weiteren müssen nach § 5 Abs. 4 </w:t>
      </w:r>
      <w:proofErr w:type="spellStart"/>
      <w:r>
        <w:t>lit</w:t>
      </w:r>
      <w:proofErr w:type="spellEnd"/>
      <w:r>
        <w:t xml:space="preserve">. b) der zuvor genannten Richtlinie förderungsfähige Jugendparks Bereiche für Mädchen und Jungen aufweisen und nach § 5 Abs. 4 </w:t>
      </w:r>
      <w:proofErr w:type="spellStart"/>
      <w:r>
        <w:t>lit</w:t>
      </w:r>
      <w:proofErr w:type="spellEnd"/>
      <w:r>
        <w:t>. f) der zuvor genannten Richtlinie werden gleichwertige geschlechterspezifische Angebote für Mädchen und Jungen mit einem Förderungszuschlag honoriert.</w:t>
      </w:r>
    </w:p>
    <w:p w:rsidR="00566CE0" w:rsidRDefault="00566CE0" w:rsidP="00566CE0">
      <w:pPr>
        <w:pStyle w:val="Textkrper"/>
        <w:jc w:val="both"/>
        <w:rPr>
          <w:color w:val="000000"/>
          <w:sz w:val="26"/>
        </w:rPr>
      </w:pPr>
      <w:r>
        <w:rPr>
          <w:u w:val="single"/>
        </w:rPr>
        <w:t>Geplante Aufwendungen:</w:t>
      </w:r>
      <w:r w:rsidRPr="000378BB">
        <w:t xml:space="preserve"> </w:t>
      </w:r>
      <w:r w:rsidR="005B7BA6">
        <w:t>€ 580.</w:t>
      </w:r>
      <w:proofErr w:type="gramStart"/>
      <w:r w:rsidR="005B7BA6">
        <w:t>000,--</w:t>
      </w:r>
      <w:proofErr w:type="gramEnd"/>
      <w:r w:rsidR="005B7BA6">
        <w:t xml:space="preserve"> </w:t>
      </w:r>
    </w:p>
    <w:p w:rsidR="00566CE0" w:rsidRDefault="00566CE0" w:rsidP="00566CE0">
      <w:pPr>
        <w:pStyle w:val="Textkrper"/>
        <w:jc w:val="both"/>
        <w:rPr>
          <w:color w:val="000000"/>
          <w:sz w:val="26"/>
        </w:rPr>
      </w:pPr>
    </w:p>
    <w:p w:rsidR="00566CE0" w:rsidRDefault="00566CE0" w:rsidP="00566CE0">
      <w:pPr>
        <w:pStyle w:val="Textkrper"/>
        <w:pBdr>
          <w:bottom w:val="single" w:sz="4" w:space="1" w:color="auto"/>
        </w:pBdr>
        <w:rPr>
          <w:b/>
        </w:rPr>
      </w:pPr>
      <w:r>
        <w:rPr>
          <w:b/>
        </w:rPr>
        <w:t>Bewirtschafter/Abteilung: 7100 Raumplanung und Baurecht</w:t>
      </w:r>
      <w:r>
        <w:rPr>
          <w:b/>
        </w:rPr>
        <w:br/>
        <w:t>Voranschlagstelle: 1-363105-7305-000 Beitr</w:t>
      </w:r>
      <w:r w:rsidR="000373B6">
        <w:rPr>
          <w:b/>
        </w:rPr>
        <w:t xml:space="preserve">äge an Gemeinden  zur </w:t>
      </w:r>
      <w:r>
        <w:rPr>
          <w:b/>
        </w:rPr>
        <w:t>Öffentlichkeitsarb</w:t>
      </w:r>
      <w:r w:rsidR="000373B6">
        <w:rPr>
          <w:b/>
        </w:rPr>
        <w:t>eit und V</w:t>
      </w:r>
      <w:r>
        <w:rPr>
          <w:b/>
        </w:rPr>
        <w:t>eranstalt</w:t>
      </w:r>
      <w:r w:rsidR="000373B6">
        <w:rPr>
          <w:b/>
        </w:rPr>
        <w:t xml:space="preserve">ungen bei </w:t>
      </w:r>
      <w:r>
        <w:rPr>
          <w:b/>
        </w:rPr>
        <w:t>G</w:t>
      </w:r>
      <w:r w:rsidR="000373B6">
        <w:rPr>
          <w:b/>
        </w:rPr>
        <w:t>emeindeplanung</w:t>
      </w:r>
    </w:p>
    <w:p w:rsidR="00566CE0" w:rsidRDefault="00566CE0" w:rsidP="00566CE0">
      <w:pPr>
        <w:pStyle w:val="Textkrper"/>
        <w:jc w:val="both"/>
        <w:rPr>
          <w:color w:val="000000"/>
          <w:sz w:val="26"/>
          <w:u w:val="single" w:color="000000"/>
        </w:rPr>
      </w:pPr>
      <w:r>
        <w:rPr>
          <w:u w:val="single"/>
        </w:rPr>
        <w:t>Situation und daraus entstehende Fragen</w:t>
      </w:r>
    </w:p>
    <w:p w:rsidR="00566CE0" w:rsidRDefault="00566CE0" w:rsidP="00566CE0">
      <w:pPr>
        <w:pStyle w:val="Textkrper"/>
        <w:jc w:val="both"/>
        <w:rPr>
          <w:color w:val="000000"/>
          <w:sz w:val="26"/>
        </w:rPr>
      </w:pPr>
      <w:r>
        <w:t>Um den Ziel einer gerechten Verteilung eingesetzter Mittel der öffentlichen Hand unter den Geschlechtern gerecht zu werden wurde in den allgemeinen Förderungsgrundsätzen der Landesregierung im Bereich Raumplanung unter Punkt (8) folgender Passus aufgenommen:</w:t>
      </w:r>
    </w:p>
    <w:p w:rsidR="00566CE0" w:rsidRDefault="00566CE0" w:rsidP="00566CE0">
      <w:pPr>
        <w:pStyle w:val="Textkrper"/>
        <w:jc w:val="both"/>
        <w:rPr>
          <w:i/>
          <w:color w:val="000000"/>
          <w:sz w:val="26"/>
        </w:rPr>
      </w:pPr>
      <w:r>
        <w:rPr>
          <w:i/>
        </w:rPr>
        <w:t>„Auf die Grundsätze der Antidiskriminierung und insbesondere auf die Chancengleichheit von Frauen und Männern ist Bedacht zu nehmen.“</w:t>
      </w:r>
    </w:p>
    <w:p w:rsidR="00566CE0" w:rsidRDefault="00566CE0" w:rsidP="00566CE0">
      <w:pPr>
        <w:pStyle w:val="Textkrper"/>
        <w:jc w:val="both"/>
        <w:rPr>
          <w:color w:val="000000"/>
          <w:sz w:val="26"/>
          <w:u w:val="single" w:color="000000"/>
        </w:rPr>
      </w:pPr>
      <w:r>
        <w:rPr>
          <w:u w:val="single"/>
        </w:rPr>
        <w:t>Maßnahmen/Ziele</w:t>
      </w:r>
    </w:p>
    <w:p w:rsidR="00566CE0" w:rsidRDefault="00566CE0" w:rsidP="00566CE0">
      <w:pPr>
        <w:pStyle w:val="Textkrper"/>
        <w:jc w:val="both"/>
        <w:rPr>
          <w:color w:val="000000"/>
          <w:sz w:val="26"/>
        </w:rPr>
      </w:pPr>
      <w:r>
        <w:t xml:space="preserve">Nach § 3 Abs. 5 der </w:t>
      </w:r>
      <w:r>
        <w:rPr>
          <w:b/>
        </w:rPr>
        <w:t>Richtlinie der Landesregierung über die Förderung raumplanerischer Konzepte und sonstiger Gemeinde- und Regionalentwicklungsplanungen</w:t>
      </w:r>
      <w:r>
        <w:t xml:space="preserve"> können vom Land auch regionale, örtliche oder teilörtliche Entwicklungskonzept aus Mitteln der Besonderen Bedarfszuweisungen gefördert werden, die außerhalb des Zuständigkeitsbereiches der Abteilung VIIa liegen. </w:t>
      </w:r>
    </w:p>
    <w:p w:rsidR="00566CE0" w:rsidRDefault="00566CE0" w:rsidP="00566CE0">
      <w:pPr>
        <w:pStyle w:val="Textkrper"/>
        <w:jc w:val="both"/>
        <w:rPr>
          <w:color w:val="000000"/>
          <w:sz w:val="26"/>
        </w:rPr>
      </w:pPr>
      <w:r>
        <w:t xml:space="preserve">Eine fachlich zuständige Abteilung des Amtes der Landesregierung kann somit inhaltliche Förderungskriterien festlegen. Dies ist selbstverständlich auch für den Themenbereich „Gender“ möglich. Die Beratung, die Prüfung der Förderungsfähigkeit der eingereichten Projekte und die Kontrolle der Einhaltung der Förderungsbedingungen liegen </w:t>
      </w:r>
      <w:proofErr w:type="spellStart"/>
      <w:r>
        <w:t>diesfalls</w:t>
      </w:r>
      <w:proofErr w:type="spellEnd"/>
      <w:r>
        <w:t xml:space="preserve"> in der Verantwortung der dafür zuständigen Abteilung im Amt der Landesregierung; die Abteilung VIIa ist lediglich Empfangsstelle für das Förderungsansuchen und übernimmt die finanzielle Abwicklung der Förderung. </w:t>
      </w:r>
    </w:p>
    <w:p w:rsidR="00566CE0" w:rsidRDefault="00566CE0" w:rsidP="00566CE0">
      <w:pPr>
        <w:pStyle w:val="Textkrper"/>
        <w:jc w:val="both"/>
        <w:rPr>
          <w:color w:val="000000"/>
          <w:sz w:val="26"/>
        </w:rPr>
      </w:pPr>
      <w:r>
        <w:t>Entsprechend Anhang 3 der Richtlinie der Landesregierung über die Förderung raumplanerische</w:t>
      </w:r>
      <w:r w:rsidR="005F3BEE">
        <w:t>r</w:t>
      </w:r>
      <w:r>
        <w:t xml:space="preserve"> Konzepte und sonstiger Gemeinde- und Regionalentwicklungsplanungen sind gegenwärtig regionale Entwicklungskonzepte im Bereich Gesellschaft, Soziales und Integration, die das Thema „Frauen und/oder Männer“ im Kontext von Wohnen/Wohnformen, Prävention sowie Sozialforschung behandeln, förderungsfähig. Der inhaltliche Zuständigkeitsbereich liegt hierbei bei der Abteilung IVa. Bis dato ging bei der Abteilung VIIa kein derartiges Förderungsansuchen ein.</w:t>
      </w:r>
    </w:p>
    <w:p w:rsidR="00D53E04" w:rsidRPr="00FE5CAB" w:rsidRDefault="00566CE0" w:rsidP="0099300B">
      <w:pPr>
        <w:pStyle w:val="Textkrper"/>
        <w:jc w:val="both"/>
        <w:rPr>
          <w:sz w:val="24"/>
          <w:szCs w:val="24"/>
        </w:rPr>
      </w:pPr>
      <w:r>
        <w:rPr>
          <w:u w:val="single"/>
        </w:rPr>
        <w:t>Geplante Aufwendungen:</w:t>
      </w:r>
      <w:r>
        <w:t xml:space="preserve"> € 200.</w:t>
      </w:r>
      <w:proofErr w:type="gramStart"/>
      <w:r>
        <w:t>000</w:t>
      </w:r>
      <w:r w:rsidR="000373B6">
        <w:t>,--</w:t>
      </w:r>
      <w:proofErr w:type="gramEnd"/>
    </w:p>
    <w:sectPr w:rsidR="00D53E04" w:rsidRPr="00FE5CAB" w:rsidSect="00072A2A">
      <w:headerReference w:type="default" r:id="rId17"/>
      <w:footerReference w:type="default" r:id="rId18"/>
      <w:pgSz w:w="12240" w:h="15840"/>
      <w:pgMar w:top="1247" w:right="1418" w:bottom="567" w:left="1418" w:header="284" w:footer="284" w:gutter="0"/>
      <w:pgNumType w:start="30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10" w:rsidRDefault="00464210" w:rsidP="003336F4">
      <w:pPr>
        <w:spacing w:line="240" w:lineRule="auto"/>
      </w:pPr>
      <w:r>
        <w:separator/>
      </w:r>
    </w:p>
  </w:endnote>
  <w:endnote w:type="continuationSeparator" w:id="0">
    <w:p w:rsidR="00464210" w:rsidRDefault="00464210" w:rsidP="00333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112"/>
      <w:gridCol w:w="292"/>
    </w:tblGrid>
    <w:tr w:rsidR="00924CE8" w:rsidTr="00DE1F46">
      <w:trPr>
        <w:trHeight w:val="727"/>
      </w:trPr>
      <w:tc>
        <w:tcPr>
          <w:tcW w:w="4845" w:type="pct"/>
        </w:tcPr>
        <w:p w:rsidR="00924CE8" w:rsidRDefault="00924CE8">
          <w:pPr>
            <w:tabs>
              <w:tab w:val="left" w:pos="620"/>
              <w:tab w:val="center" w:pos="4320"/>
            </w:tabs>
            <w:jc w:val="right"/>
            <w:rPr>
              <w:rFonts w:asciiTheme="majorHAnsi" w:eastAsiaTheme="majorEastAsia" w:hAnsiTheme="majorHAnsi" w:cstheme="majorBidi"/>
              <w:sz w:val="20"/>
            </w:rPr>
          </w:pPr>
        </w:p>
      </w:tc>
      <w:tc>
        <w:tcPr>
          <w:tcW w:w="155" w:type="pct"/>
          <w:tcBorders>
            <w:left w:val="nil"/>
          </w:tcBorders>
        </w:tcPr>
        <w:p w:rsidR="00924CE8" w:rsidRDefault="00924CE8">
          <w:pPr>
            <w:tabs>
              <w:tab w:val="left" w:pos="1490"/>
            </w:tabs>
            <w:rPr>
              <w:rFonts w:asciiTheme="majorHAnsi" w:eastAsiaTheme="majorEastAsia" w:hAnsiTheme="majorHAnsi" w:cstheme="majorBidi"/>
              <w:sz w:val="28"/>
              <w:szCs w:val="28"/>
            </w:rPr>
          </w:pPr>
        </w:p>
      </w:tc>
    </w:tr>
  </w:tbl>
  <w:p w:rsidR="00924CE8" w:rsidRDefault="00924C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10" w:rsidRDefault="00464210" w:rsidP="003336F4">
      <w:pPr>
        <w:spacing w:line="240" w:lineRule="auto"/>
      </w:pPr>
      <w:r>
        <w:separator/>
      </w:r>
    </w:p>
  </w:footnote>
  <w:footnote w:type="continuationSeparator" w:id="0">
    <w:p w:rsidR="00464210" w:rsidRDefault="00464210" w:rsidP="00333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E8" w:rsidRDefault="00924CE8">
    <w:pPr>
      <w:pStyle w:val="Kopfzeile"/>
      <w:jc w:val="right"/>
    </w:pPr>
  </w:p>
  <w:p w:rsidR="00924CE8" w:rsidRDefault="00924CE8" w:rsidP="00072A2A">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CE8" w:rsidRPr="00810843" w:rsidRDefault="00924CE8" w:rsidP="00810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4BF"/>
    <w:multiLevelType w:val="hybridMultilevel"/>
    <w:tmpl w:val="2CC285D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60C2C75"/>
    <w:multiLevelType w:val="hybridMultilevel"/>
    <w:tmpl w:val="8916ACD6"/>
    <w:lvl w:ilvl="0" w:tplc="ED28B46E">
      <w:start w:val="1"/>
      <w:numFmt w:val="decimal"/>
      <w:lvlText w:val="%1."/>
      <w:lvlJc w:val="left"/>
      <w:pPr>
        <w:ind w:left="720" w:hanging="360"/>
      </w:pPr>
      <w:rPr>
        <w:rFonts w:asciiTheme="minorHAnsi" w:hAnsiTheme="minorHAnsi" w:hint="default"/>
        <w:sz w:val="20"/>
      </w:rPr>
    </w:lvl>
    <w:lvl w:ilvl="1" w:tplc="4AC02FE6">
      <w:start w:val="1"/>
      <w:numFmt w:val="lowerLetter"/>
      <w:lvlText w:val="%2."/>
      <w:lvlJc w:val="left"/>
      <w:pPr>
        <w:ind w:left="1080" w:hanging="360"/>
      </w:pPr>
      <w:rPr>
        <w:rFonts w:ascii="Arial" w:hAnsi="Arial" w:cs="Arial"/>
        <w:sz w:val="24"/>
      </w:rPr>
    </w:lvl>
    <w:lvl w:ilvl="2" w:tplc="0CB0185E">
      <w:start w:val="1"/>
      <w:numFmt w:val="lowerRoman"/>
      <w:lvlText w:val="%3."/>
      <w:lvlJc w:val="left"/>
      <w:pPr>
        <w:ind w:left="1440" w:hanging="360"/>
      </w:pPr>
      <w:rPr>
        <w:rFonts w:ascii="Arial" w:hAnsi="Arial" w:cs="Arial"/>
        <w:sz w:val="24"/>
      </w:rPr>
    </w:lvl>
    <w:lvl w:ilvl="3" w:tplc="5022A53E">
      <w:start w:val="1"/>
      <w:numFmt w:val="decimal"/>
      <w:lvlText w:val="%4."/>
      <w:lvlJc w:val="left"/>
      <w:pPr>
        <w:ind w:left="1800" w:hanging="360"/>
      </w:pPr>
      <w:rPr>
        <w:rFonts w:ascii="Arial" w:hAnsi="Arial" w:cs="Arial"/>
        <w:sz w:val="24"/>
      </w:rPr>
    </w:lvl>
    <w:lvl w:ilvl="4" w:tplc="AF36528C">
      <w:start w:val="1"/>
      <w:numFmt w:val="lowerLetter"/>
      <w:lvlText w:val="%5."/>
      <w:lvlJc w:val="left"/>
      <w:pPr>
        <w:ind w:left="2160" w:hanging="360"/>
      </w:pPr>
      <w:rPr>
        <w:rFonts w:ascii="Arial" w:hAnsi="Arial" w:cs="Arial"/>
        <w:sz w:val="24"/>
      </w:rPr>
    </w:lvl>
    <w:lvl w:ilvl="5" w:tplc="53A69304">
      <w:start w:val="1"/>
      <w:numFmt w:val="lowerRoman"/>
      <w:lvlText w:val="%6."/>
      <w:lvlJc w:val="left"/>
      <w:pPr>
        <w:ind w:left="2520" w:hanging="360"/>
      </w:pPr>
      <w:rPr>
        <w:rFonts w:ascii="Arial" w:hAnsi="Arial" w:cs="Arial"/>
        <w:sz w:val="24"/>
      </w:rPr>
    </w:lvl>
    <w:lvl w:ilvl="6" w:tplc="881C35A8">
      <w:start w:val="1"/>
      <w:numFmt w:val="decimal"/>
      <w:lvlText w:val="%7."/>
      <w:lvlJc w:val="left"/>
      <w:pPr>
        <w:ind w:left="2880" w:hanging="360"/>
      </w:pPr>
      <w:rPr>
        <w:rFonts w:ascii="Arial" w:hAnsi="Arial" w:cs="Arial"/>
        <w:sz w:val="24"/>
      </w:rPr>
    </w:lvl>
    <w:lvl w:ilvl="7" w:tplc="BA88A59C">
      <w:start w:val="1"/>
      <w:numFmt w:val="lowerLetter"/>
      <w:lvlText w:val="%8."/>
      <w:lvlJc w:val="left"/>
      <w:pPr>
        <w:ind w:left="3240" w:hanging="360"/>
      </w:pPr>
      <w:rPr>
        <w:rFonts w:ascii="Arial" w:hAnsi="Arial" w:cs="Arial"/>
        <w:sz w:val="24"/>
      </w:rPr>
    </w:lvl>
    <w:lvl w:ilvl="8" w:tplc="C2A6F82E">
      <w:start w:val="1"/>
      <w:numFmt w:val="lowerRoman"/>
      <w:lvlText w:val="%9."/>
      <w:lvlJc w:val="left"/>
      <w:pPr>
        <w:ind w:left="3600" w:hanging="360"/>
      </w:pPr>
      <w:rPr>
        <w:rFonts w:ascii="Arial" w:hAnsi="Arial" w:cs="Arial"/>
        <w:sz w:val="24"/>
      </w:rPr>
    </w:lvl>
  </w:abstractNum>
  <w:abstractNum w:abstractNumId="2" w15:restartNumberingAfterBreak="0">
    <w:nsid w:val="0D581BBE"/>
    <w:multiLevelType w:val="multilevel"/>
    <w:tmpl w:val="9A1E1016"/>
    <w:lvl w:ilvl="0">
      <w:start w:val="1"/>
      <w:numFmt w:val="ordinal"/>
      <w:pStyle w:val="berschrift1"/>
      <w:lvlText w:val="%1"/>
      <w:lvlJc w:val="left"/>
      <w:pPr>
        <w:ind w:left="3551" w:hanging="432"/>
      </w:pPr>
      <w:rPr>
        <w:rFonts w:cs="Times New Roman"/>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6247"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4C622C7"/>
    <w:multiLevelType w:val="hybridMultilevel"/>
    <w:tmpl w:val="E154DF2C"/>
    <w:lvl w:ilvl="0" w:tplc="39666EF6">
      <w:start w:val="1"/>
      <w:numFmt w:val="bullet"/>
      <w:lvlText w:val=""/>
      <w:lvlJc w:val="left"/>
      <w:pPr>
        <w:ind w:left="720" w:hanging="360"/>
      </w:pPr>
      <w:rPr>
        <w:rFonts w:ascii="Symbol" w:hAnsi="Symbol" w:cs="Symbol"/>
        <w:color w:val="E36C0A"/>
        <w:sz w:val="24"/>
      </w:rPr>
    </w:lvl>
    <w:lvl w:ilvl="1" w:tplc="46E674F6">
      <w:start w:val="1"/>
      <w:numFmt w:val="bullet"/>
      <w:lvlText w:val=""/>
      <w:lvlJc w:val="left"/>
      <w:pPr>
        <w:ind w:left="720" w:hanging="360"/>
      </w:pPr>
      <w:rPr>
        <w:rFonts w:ascii="Symbol" w:hAnsi="Symbol" w:cs="Symbol"/>
        <w:color w:val="E36C0A"/>
        <w:sz w:val="24"/>
      </w:rPr>
    </w:lvl>
    <w:lvl w:ilvl="2" w:tplc="95A67BD0">
      <w:start w:val="1"/>
      <w:numFmt w:val="bullet"/>
      <w:lvlText w:val=""/>
      <w:lvlJc w:val="left"/>
      <w:pPr>
        <w:ind w:left="720" w:hanging="360"/>
      </w:pPr>
      <w:rPr>
        <w:rFonts w:ascii="Symbol" w:hAnsi="Symbol" w:cs="Symbol"/>
        <w:color w:val="E36C0A"/>
        <w:sz w:val="24"/>
      </w:rPr>
    </w:lvl>
    <w:lvl w:ilvl="3" w:tplc="632AC09E">
      <w:start w:val="1"/>
      <w:numFmt w:val="bullet"/>
      <w:lvlText w:val=""/>
      <w:lvlJc w:val="left"/>
      <w:pPr>
        <w:ind w:left="720" w:hanging="360"/>
      </w:pPr>
      <w:rPr>
        <w:rFonts w:ascii="Symbol" w:hAnsi="Symbol" w:cs="Symbol"/>
        <w:color w:val="E36C0A"/>
        <w:sz w:val="24"/>
      </w:rPr>
    </w:lvl>
    <w:lvl w:ilvl="4" w:tplc="F8046C56">
      <w:start w:val="1"/>
      <w:numFmt w:val="bullet"/>
      <w:lvlText w:val=""/>
      <w:lvlJc w:val="left"/>
      <w:pPr>
        <w:ind w:left="720" w:hanging="360"/>
      </w:pPr>
      <w:rPr>
        <w:rFonts w:ascii="Symbol" w:hAnsi="Symbol" w:cs="Symbol"/>
        <w:color w:val="E36C0A"/>
        <w:sz w:val="24"/>
      </w:rPr>
    </w:lvl>
    <w:lvl w:ilvl="5" w:tplc="B0228F56">
      <w:start w:val="1"/>
      <w:numFmt w:val="bullet"/>
      <w:lvlText w:val=""/>
      <w:lvlJc w:val="left"/>
      <w:pPr>
        <w:ind w:left="720" w:hanging="360"/>
      </w:pPr>
      <w:rPr>
        <w:rFonts w:ascii="Symbol" w:hAnsi="Symbol" w:cs="Symbol"/>
        <w:color w:val="E36C0A"/>
        <w:sz w:val="24"/>
      </w:rPr>
    </w:lvl>
    <w:lvl w:ilvl="6" w:tplc="59301EB6">
      <w:start w:val="1"/>
      <w:numFmt w:val="bullet"/>
      <w:lvlText w:val=""/>
      <w:lvlJc w:val="left"/>
      <w:pPr>
        <w:ind w:left="720" w:hanging="360"/>
      </w:pPr>
      <w:rPr>
        <w:rFonts w:ascii="Symbol" w:hAnsi="Symbol" w:cs="Symbol"/>
        <w:color w:val="E36C0A"/>
        <w:sz w:val="24"/>
      </w:rPr>
    </w:lvl>
    <w:lvl w:ilvl="7" w:tplc="7682C30C">
      <w:start w:val="1"/>
      <w:numFmt w:val="bullet"/>
      <w:lvlText w:val=""/>
      <w:lvlJc w:val="left"/>
      <w:pPr>
        <w:ind w:left="720" w:hanging="360"/>
      </w:pPr>
      <w:rPr>
        <w:rFonts w:ascii="Symbol" w:hAnsi="Symbol" w:cs="Symbol"/>
        <w:color w:val="E36C0A"/>
        <w:sz w:val="24"/>
      </w:rPr>
    </w:lvl>
    <w:lvl w:ilvl="8" w:tplc="4F90C984">
      <w:start w:val="1"/>
      <w:numFmt w:val="bullet"/>
      <w:lvlText w:val=""/>
      <w:lvlJc w:val="left"/>
      <w:pPr>
        <w:ind w:left="720" w:hanging="360"/>
      </w:pPr>
      <w:rPr>
        <w:rFonts w:ascii="Symbol" w:hAnsi="Symbol" w:cs="Symbol"/>
        <w:color w:val="E36C0A"/>
        <w:sz w:val="24"/>
      </w:rPr>
    </w:lvl>
  </w:abstractNum>
  <w:abstractNum w:abstractNumId="4" w15:restartNumberingAfterBreak="0">
    <w:nsid w:val="1636534D"/>
    <w:multiLevelType w:val="hybridMultilevel"/>
    <w:tmpl w:val="09BE1AEC"/>
    <w:lvl w:ilvl="0" w:tplc="ED28B46E">
      <w:start w:val="1"/>
      <w:numFmt w:val="decimal"/>
      <w:lvlText w:val="%1."/>
      <w:lvlJc w:val="left"/>
      <w:pPr>
        <w:ind w:left="1080" w:hanging="360"/>
      </w:pPr>
      <w:rPr>
        <w:rFonts w:asciiTheme="minorHAnsi" w:hAnsiTheme="minorHAnsi" w:hint="default"/>
        <w:sz w:val="2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5" w15:restartNumberingAfterBreak="0">
    <w:nsid w:val="16AF6B09"/>
    <w:multiLevelType w:val="hybridMultilevel"/>
    <w:tmpl w:val="F04AF6AC"/>
    <w:lvl w:ilvl="0" w:tplc="C75A4F5E">
      <w:start w:val="1"/>
      <w:numFmt w:val="bullet"/>
      <w:lvlText w:val=""/>
      <w:lvlJc w:val="left"/>
      <w:pPr>
        <w:ind w:left="720" w:hanging="360"/>
      </w:pPr>
      <w:rPr>
        <w:rFonts w:ascii="Symbol" w:hAnsi="Symbol" w:cs="Symbol"/>
        <w:color w:val="E36C0A"/>
        <w:sz w:val="24"/>
      </w:rPr>
    </w:lvl>
    <w:lvl w:ilvl="1" w:tplc="49C4592A">
      <w:start w:val="1"/>
      <w:numFmt w:val="bullet"/>
      <w:lvlText w:val=""/>
      <w:lvlJc w:val="left"/>
      <w:pPr>
        <w:ind w:left="720" w:hanging="360"/>
      </w:pPr>
      <w:rPr>
        <w:rFonts w:ascii="Symbol" w:hAnsi="Symbol" w:cs="Symbol"/>
        <w:color w:val="E36C0A"/>
        <w:sz w:val="24"/>
      </w:rPr>
    </w:lvl>
    <w:lvl w:ilvl="2" w:tplc="38964592">
      <w:start w:val="1"/>
      <w:numFmt w:val="bullet"/>
      <w:lvlText w:val=""/>
      <w:lvlJc w:val="left"/>
      <w:pPr>
        <w:ind w:left="720" w:hanging="360"/>
      </w:pPr>
      <w:rPr>
        <w:rFonts w:ascii="Symbol" w:hAnsi="Symbol" w:cs="Symbol"/>
        <w:color w:val="E36C0A"/>
        <w:sz w:val="24"/>
      </w:rPr>
    </w:lvl>
    <w:lvl w:ilvl="3" w:tplc="5C14CBA2">
      <w:start w:val="1"/>
      <w:numFmt w:val="bullet"/>
      <w:lvlText w:val=""/>
      <w:lvlJc w:val="left"/>
      <w:pPr>
        <w:ind w:left="720" w:hanging="360"/>
      </w:pPr>
      <w:rPr>
        <w:rFonts w:ascii="Symbol" w:hAnsi="Symbol" w:cs="Symbol"/>
        <w:color w:val="E36C0A"/>
        <w:sz w:val="24"/>
      </w:rPr>
    </w:lvl>
    <w:lvl w:ilvl="4" w:tplc="A510CF2A">
      <w:start w:val="1"/>
      <w:numFmt w:val="bullet"/>
      <w:lvlText w:val=""/>
      <w:lvlJc w:val="left"/>
      <w:pPr>
        <w:ind w:left="720" w:hanging="360"/>
      </w:pPr>
      <w:rPr>
        <w:rFonts w:ascii="Symbol" w:hAnsi="Symbol" w:cs="Symbol"/>
        <w:color w:val="E36C0A"/>
        <w:sz w:val="24"/>
      </w:rPr>
    </w:lvl>
    <w:lvl w:ilvl="5" w:tplc="24181560">
      <w:start w:val="1"/>
      <w:numFmt w:val="bullet"/>
      <w:lvlText w:val=""/>
      <w:lvlJc w:val="left"/>
      <w:pPr>
        <w:ind w:left="720" w:hanging="360"/>
      </w:pPr>
      <w:rPr>
        <w:rFonts w:ascii="Symbol" w:hAnsi="Symbol" w:cs="Symbol"/>
        <w:color w:val="E36C0A"/>
        <w:sz w:val="24"/>
      </w:rPr>
    </w:lvl>
    <w:lvl w:ilvl="6" w:tplc="8036103E">
      <w:start w:val="1"/>
      <w:numFmt w:val="bullet"/>
      <w:lvlText w:val=""/>
      <w:lvlJc w:val="left"/>
      <w:pPr>
        <w:ind w:left="720" w:hanging="360"/>
      </w:pPr>
      <w:rPr>
        <w:rFonts w:ascii="Symbol" w:hAnsi="Symbol" w:cs="Symbol"/>
        <w:color w:val="E36C0A"/>
        <w:sz w:val="24"/>
      </w:rPr>
    </w:lvl>
    <w:lvl w:ilvl="7" w:tplc="8D7E956A">
      <w:start w:val="1"/>
      <w:numFmt w:val="bullet"/>
      <w:lvlText w:val=""/>
      <w:lvlJc w:val="left"/>
      <w:pPr>
        <w:ind w:left="720" w:hanging="360"/>
      </w:pPr>
      <w:rPr>
        <w:rFonts w:ascii="Symbol" w:hAnsi="Symbol" w:cs="Symbol"/>
        <w:color w:val="E36C0A"/>
        <w:sz w:val="24"/>
      </w:rPr>
    </w:lvl>
    <w:lvl w:ilvl="8" w:tplc="83C0E27C">
      <w:start w:val="1"/>
      <w:numFmt w:val="bullet"/>
      <w:lvlText w:val=""/>
      <w:lvlJc w:val="left"/>
      <w:pPr>
        <w:ind w:left="720" w:hanging="360"/>
      </w:pPr>
      <w:rPr>
        <w:rFonts w:ascii="Symbol" w:hAnsi="Symbol" w:cs="Symbol"/>
        <w:color w:val="E36C0A"/>
        <w:sz w:val="24"/>
      </w:rPr>
    </w:lvl>
  </w:abstractNum>
  <w:abstractNum w:abstractNumId="6" w15:restartNumberingAfterBreak="0">
    <w:nsid w:val="1B332778"/>
    <w:multiLevelType w:val="hybridMultilevel"/>
    <w:tmpl w:val="E4A8AA9C"/>
    <w:lvl w:ilvl="0" w:tplc="B3B6F6B2">
      <w:start w:val="1"/>
      <w:numFmt w:val="bullet"/>
      <w:lvlText w:val=""/>
      <w:lvlJc w:val="left"/>
      <w:pPr>
        <w:ind w:left="720" w:hanging="360"/>
      </w:pPr>
      <w:rPr>
        <w:rFonts w:ascii="Symbol" w:hAnsi="Symbol" w:cs="Symbol"/>
        <w:color w:val="E36C0A"/>
        <w:sz w:val="24"/>
      </w:rPr>
    </w:lvl>
    <w:lvl w:ilvl="1" w:tplc="AE7074C2">
      <w:start w:val="1"/>
      <w:numFmt w:val="bullet"/>
      <w:lvlText w:val="o"/>
      <w:lvlJc w:val="left"/>
      <w:pPr>
        <w:ind w:left="1440" w:hanging="360"/>
      </w:pPr>
      <w:rPr>
        <w:rFonts w:ascii="Courier New" w:hAnsi="Courier New" w:cs="Courier New"/>
        <w:sz w:val="24"/>
      </w:rPr>
    </w:lvl>
    <w:lvl w:ilvl="2" w:tplc="D81E7940">
      <w:start w:val="1"/>
      <w:numFmt w:val="bullet"/>
      <w:lvlText w:val=""/>
      <w:lvlJc w:val="left"/>
      <w:pPr>
        <w:ind w:left="2160" w:hanging="360"/>
      </w:pPr>
      <w:rPr>
        <w:rFonts w:ascii="Wingdings" w:hAnsi="Wingdings" w:cs="Wingdings"/>
        <w:sz w:val="24"/>
      </w:rPr>
    </w:lvl>
    <w:lvl w:ilvl="3" w:tplc="315CEB54">
      <w:start w:val="1"/>
      <w:numFmt w:val="bullet"/>
      <w:lvlText w:val=""/>
      <w:lvlJc w:val="left"/>
      <w:pPr>
        <w:ind w:left="2880" w:hanging="360"/>
      </w:pPr>
      <w:rPr>
        <w:rFonts w:ascii="Symbol" w:hAnsi="Symbol" w:cs="Symbol"/>
        <w:sz w:val="24"/>
      </w:rPr>
    </w:lvl>
    <w:lvl w:ilvl="4" w:tplc="B20C01F0">
      <w:start w:val="1"/>
      <w:numFmt w:val="bullet"/>
      <w:lvlText w:val="o"/>
      <w:lvlJc w:val="left"/>
      <w:pPr>
        <w:ind w:left="3600" w:hanging="360"/>
      </w:pPr>
      <w:rPr>
        <w:rFonts w:ascii="Courier New" w:hAnsi="Courier New" w:cs="Courier New"/>
        <w:sz w:val="24"/>
      </w:rPr>
    </w:lvl>
    <w:lvl w:ilvl="5" w:tplc="C2F824D8">
      <w:start w:val="1"/>
      <w:numFmt w:val="bullet"/>
      <w:lvlText w:val=""/>
      <w:lvlJc w:val="left"/>
      <w:pPr>
        <w:ind w:left="4320" w:hanging="360"/>
      </w:pPr>
      <w:rPr>
        <w:rFonts w:ascii="Wingdings" w:hAnsi="Wingdings" w:cs="Wingdings"/>
        <w:sz w:val="24"/>
      </w:rPr>
    </w:lvl>
    <w:lvl w:ilvl="6" w:tplc="B8E0E4F2">
      <w:start w:val="1"/>
      <w:numFmt w:val="bullet"/>
      <w:lvlText w:val=""/>
      <w:lvlJc w:val="left"/>
      <w:pPr>
        <w:ind w:left="5040" w:hanging="360"/>
      </w:pPr>
      <w:rPr>
        <w:rFonts w:ascii="Symbol" w:hAnsi="Symbol" w:cs="Symbol"/>
        <w:sz w:val="24"/>
      </w:rPr>
    </w:lvl>
    <w:lvl w:ilvl="7" w:tplc="92E4C23C">
      <w:start w:val="1"/>
      <w:numFmt w:val="bullet"/>
      <w:lvlText w:val="o"/>
      <w:lvlJc w:val="left"/>
      <w:pPr>
        <w:ind w:left="5760" w:hanging="360"/>
      </w:pPr>
      <w:rPr>
        <w:rFonts w:ascii="Courier New" w:hAnsi="Courier New" w:cs="Courier New"/>
        <w:sz w:val="24"/>
      </w:rPr>
    </w:lvl>
    <w:lvl w:ilvl="8" w:tplc="FC7CAB54">
      <w:start w:val="1"/>
      <w:numFmt w:val="bullet"/>
      <w:lvlText w:val=""/>
      <w:lvlJc w:val="left"/>
      <w:pPr>
        <w:ind w:left="6480" w:hanging="360"/>
      </w:pPr>
      <w:rPr>
        <w:rFonts w:ascii="Wingdings" w:hAnsi="Wingdings" w:cs="Wingdings"/>
        <w:sz w:val="24"/>
      </w:rPr>
    </w:lvl>
  </w:abstractNum>
  <w:abstractNum w:abstractNumId="7" w15:restartNumberingAfterBreak="0">
    <w:nsid w:val="1E6B26FE"/>
    <w:multiLevelType w:val="hybridMultilevel"/>
    <w:tmpl w:val="15B89756"/>
    <w:lvl w:ilvl="0" w:tplc="5BD0A0CC">
      <w:start w:val="1"/>
      <w:numFmt w:val="bullet"/>
      <w:lvlText w:val=""/>
      <w:lvlJc w:val="left"/>
      <w:pPr>
        <w:ind w:left="720" w:hanging="360"/>
      </w:pPr>
      <w:rPr>
        <w:rFonts w:ascii="Wingdings" w:hAnsi="Wingdings" w:cs="Wingdings"/>
        <w:color w:val="E36C0A"/>
        <w:sz w:val="16"/>
      </w:rPr>
    </w:lvl>
    <w:lvl w:ilvl="1" w:tplc="30F2FCC4">
      <w:start w:val="1"/>
      <w:numFmt w:val="bullet"/>
      <w:lvlText w:val="o"/>
      <w:lvlJc w:val="left"/>
      <w:pPr>
        <w:ind w:left="1440" w:hanging="360"/>
      </w:pPr>
      <w:rPr>
        <w:rFonts w:ascii="Courier New" w:hAnsi="Courier New" w:cs="Courier New"/>
        <w:sz w:val="24"/>
      </w:rPr>
    </w:lvl>
    <w:lvl w:ilvl="2" w:tplc="8E98C474">
      <w:start w:val="1"/>
      <w:numFmt w:val="bullet"/>
      <w:lvlText w:val=""/>
      <w:lvlJc w:val="left"/>
      <w:pPr>
        <w:ind w:left="2160" w:hanging="360"/>
      </w:pPr>
      <w:rPr>
        <w:rFonts w:ascii="Wingdings" w:hAnsi="Wingdings" w:cs="Wingdings"/>
        <w:sz w:val="24"/>
      </w:rPr>
    </w:lvl>
    <w:lvl w:ilvl="3" w:tplc="43DE02A4">
      <w:start w:val="1"/>
      <w:numFmt w:val="bullet"/>
      <w:lvlText w:val=""/>
      <w:lvlJc w:val="left"/>
      <w:pPr>
        <w:ind w:left="2880" w:hanging="360"/>
      </w:pPr>
      <w:rPr>
        <w:rFonts w:ascii="Symbol" w:hAnsi="Symbol" w:cs="Symbol"/>
        <w:sz w:val="24"/>
      </w:rPr>
    </w:lvl>
    <w:lvl w:ilvl="4" w:tplc="92D8FDEC">
      <w:start w:val="1"/>
      <w:numFmt w:val="bullet"/>
      <w:lvlText w:val="o"/>
      <w:lvlJc w:val="left"/>
      <w:pPr>
        <w:ind w:left="3600" w:hanging="360"/>
      </w:pPr>
      <w:rPr>
        <w:rFonts w:ascii="Courier New" w:hAnsi="Courier New" w:cs="Courier New"/>
        <w:sz w:val="24"/>
      </w:rPr>
    </w:lvl>
    <w:lvl w:ilvl="5" w:tplc="D7CEBCF6">
      <w:start w:val="1"/>
      <w:numFmt w:val="bullet"/>
      <w:lvlText w:val=""/>
      <w:lvlJc w:val="left"/>
      <w:pPr>
        <w:ind w:left="4320" w:hanging="360"/>
      </w:pPr>
      <w:rPr>
        <w:rFonts w:ascii="Wingdings" w:hAnsi="Wingdings" w:cs="Wingdings"/>
        <w:sz w:val="24"/>
      </w:rPr>
    </w:lvl>
    <w:lvl w:ilvl="6" w:tplc="CECCF7C0">
      <w:start w:val="1"/>
      <w:numFmt w:val="bullet"/>
      <w:lvlText w:val=""/>
      <w:lvlJc w:val="left"/>
      <w:pPr>
        <w:ind w:left="5040" w:hanging="360"/>
      </w:pPr>
      <w:rPr>
        <w:rFonts w:ascii="Symbol" w:hAnsi="Symbol" w:cs="Symbol"/>
        <w:sz w:val="24"/>
      </w:rPr>
    </w:lvl>
    <w:lvl w:ilvl="7" w:tplc="369C4688">
      <w:start w:val="1"/>
      <w:numFmt w:val="bullet"/>
      <w:lvlText w:val="o"/>
      <w:lvlJc w:val="left"/>
      <w:pPr>
        <w:ind w:left="5760" w:hanging="360"/>
      </w:pPr>
      <w:rPr>
        <w:rFonts w:ascii="Courier New" w:hAnsi="Courier New" w:cs="Courier New"/>
        <w:sz w:val="24"/>
      </w:rPr>
    </w:lvl>
    <w:lvl w:ilvl="8" w:tplc="665673D8">
      <w:start w:val="1"/>
      <w:numFmt w:val="bullet"/>
      <w:lvlText w:val=""/>
      <w:lvlJc w:val="left"/>
      <w:pPr>
        <w:ind w:left="6480" w:hanging="360"/>
      </w:pPr>
      <w:rPr>
        <w:rFonts w:ascii="Wingdings" w:hAnsi="Wingdings" w:cs="Wingdings"/>
        <w:sz w:val="24"/>
      </w:rPr>
    </w:lvl>
  </w:abstractNum>
  <w:abstractNum w:abstractNumId="8" w15:restartNumberingAfterBreak="0">
    <w:nsid w:val="22166A93"/>
    <w:multiLevelType w:val="hybridMultilevel"/>
    <w:tmpl w:val="10FC154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2252599C"/>
    <w:multiLevelType w:val="hybridMultilevel"/>
    <w:tmpl w:val="13D8CB9E"/>
    <w:lvl w:ilvl="0" w:tplc="EA6E230C">
      <w:start w:val="1"/>
      <w:numFmt w:val="bullet"/>
      <w:lvlText w:val=""/>
      <w:lvlJc w:val="left"/>
      <w:pPr>
        <w:ind w:left="720" w:hanging="360"/>
      </w:pPr>
      <w:rPr>
        <w:rFonts w:ascii="Symbol" w:hAnsi="Symbol" w:cs="Symbol"/>
        <w:sz w:val="24"/>
      </w:rPr>
    </w:lvl>
    <w:lvl w:ilvl="1" w:tplc="DFFE969C">
      <w:start w:val="1"/>
      <w:numFmt w:val="bullet"/>
      <w:lvlText w:val="o"/>
      <w:lvlJc w:val="left"/>
      <w:pPr>
        <w:ind w:left="1440" w:hanging="360"/>
      </w:pPr>
      <w:rPr>
        <w:rFonts w:ascii="Courier New" w:hAnsi="Courier New" w:cs="Courier New"/>
        <w:sz w:val="24"/>
      </w:rPr>
    </w:lvl>
    <w:lvl w:ilvl="2" w:tplc="891C6186">
      <w:start w:val="1"/>
      <w:numFmt w:val="bullet"/>
      <w:lvlText w:val=""/>
      <w:lvlJc w:val="left"/>
      <w:pPr>
        <w:ind w:left="2160" w:hanging="360"/>
      </w:pPr>
      <w:rPr>
        <w:rFonts w:ascii="Wingdings" w:hAnsi="Wingdings" w:cs="Wingdings"/>
        <w:sz w:val="24"/>
      </w:rPr>
    </w:lvl>
    <w:lvl w:ilvl="3" w:tplc="B8F66BF2">
      <w:start w:val="1"/>
      <w:numFmt w:val="bullet"/>
      <w:lvlText w:val=""/>
      <w:lvlJc w:val="left"/>
      <w:pPr>
        <w:ind w:left="2880" w:hanging="360"/>
      </w:pPr>
      <w:rPr>
        <w:rFonts w:ascii="Symbol" w:hAnsi="Symbol" w:cs="Symbol"/>
        <w:sz w:val="24"/>
      </w:rPr>
    </w:lvl>
    <w:lvl w:ilvl="4" w:tplc="BF34E61A">
      <w:start w:val="1"/>
      <w:numFmt w:val="bullet"/>
      <w:lvlText w:val="o"/>
      <w:lvlJc w:val="left"/>
      <w:pPr>
        <w:ind w:left="3600" w:hanging="360"/>
      </w:pPr>
      <w:rPr>
        <w:rFonts w:ascii="Courier New" w:hAnsi="Courier New" w:cs="Courier New"/>
        <w:sz w:val="24"/>
      </w:rPr>
    </w:lvl>
    <w:lvl w:ilvl="5" w:tplc="0316E59E">
      <w:start w:val="1"/>
      <w:numFmt w:val="bullet"/>
      <w:lvlText w:val=""/>
      <w:lvlJc w:val="left"/>
      <w:pPr>
        <w:ind w:left="4320" w:hanging="360"/>
      </w:pPr>
      <w:rPr>
        <w:rFonts w:ascii="Wingdings" w:hAnsi="Wingdings" w:cs="Wingdings"/>
        <w:sz w:val="24"/>
      </w:rPr>
    </w:lvl>
    <w:lvl w:ilvl="6" w:tplc="884AE59E">
      <w:start w:val="1"/>
      <w:numFmt w:val="bullet"/>
      <w:lvlText w:val=""/>
      <w:lvlJc w:val="left"/>
      <w:pPr>
        <w:ind w:left="5040" w:hanging="360"/>
      </w:pPr>
      <w:rPr>
        <w:rFonts w:ascii="Symbol" w:hAnsi="Symbol" w:cs="Symbol"/>
        <w:sz w:val="24"/>
      </w:rPr>
    </w:lvl>
    <w:lvl w:ilvl="7" w:tplc="5E52E980">
      <w:start w:val="1"/>
      <w:numFmt w:val="bullet"/>
      <w:lvlText w:val="o"/>
      <w:lvlJc w:val="left"/>
      <w:pPr>
        <w:ind w:left="5760" w:hanging="360"/>
      </w:pPr>
      <w:rPr>
        <w:rFonts w:ascii="Courier New" w:hAnsi="Courier New" w:cs="Courier New"/>
        <w:sz w:val="24"/>
      </w:rPr>
    </w:lvl>
    <w:lvl w:ilvl="8" w:tplc="592A27A4">
      <w:start w:val="1"/>
      <w:numFmt w:val="bullet"/>
      <w:lvlText w:val=""/>
      <w:lvlJc w:val="left"/>
      <w:pPr>
        <w:ind w:left="6480" w:hanging="360"/>
      </w:pPr>
      <w:rPr>
        <w:rFonts w:ascii="Wingdings" w:hAnsi="Wingdings" w:cs="Wingdings"/>
        <w:sz w:val="24"/>
      </w:rPr>
    </w:lvl>
  </w:abstractNum>
  <w:abstractNum w:abstractNumId="10" w15:restartNumberingAfterBreak="0">
    <w:nsid w:val="2C80595A"/>
    <w:multiLevelType w:val="hybridMultilevel"/>
    <w:tmpl w:val="26DC4CBC"/>
    <w:lvl w:ilvl="0" w:tplc="55E6AC54">
      <w:start w:val="1"/>
      <w:numFmt w:val="bullet"/>
      <w:lvlText w:val=""/>
      <w:lvlJc w:val="left"/>
      <w:pPr>
        <w:ind w:left="720" w:hanging="360"/>
      </w:pPr>
      <w:rPr>
        <w:rFonts w:ascii="Symbol" w:hAnsi="Symbol" w:cs="Symbol"/>
      </w:rPr>
    </w:lvl>
    <w:lvl w:ilvl="1" w:tplc="B5C28296">
      <w:start w:val="1"/>
      <w:numFmt w:val="bullet"/>
      <w:lvlText w:val="o"/>
      <w:lvlJc w:val="left"/>
      <w:pPr>
        <w:ind w:left="1440" w:hanging="360"/>
      </w:pPr>
      <w:rPr>
        <w:rFonts w:ascii="Courier New" w:hAnsi="Courier New" w:cs="Courier New"/>
      </w:rPr>
    </w:lvl>
    <w:lvl w:ilvl="2" w:tplc="3FD63E50">
      <w:start w:val="1"/>
      <w:numFmt w:val="bullet"/>
      <w:lvlText w:val=""/>
      <w:lvlJc w:val="left"/>
      <w:pPr>
        <w:ind w:left="2160" w:hanging="360"/>
      </w:pPr>
      <w:rPr>
        <w:rFonts w:ascii="Wingdings" w:hAnsi="Wingdings" w:cs="Wingdings"/>
      </w:rPr>
    </w:lvl>
    <w:lvl w:ilvl="3" w:tplc="0332CC94">
      <w:start w:val="1"/>
      <w:numFmt w:val="bullet"/>
      <w:lvlText w:val=""/>
      <w:lvlJc w:val="left"/>
      <w:pPr>
        <w:ind w:left="2880" w:hanging="360"/>
      </w:pPr>
      <w:rPr>
        <w:rFonts w:ascii="Symbol" w:hAnsi="Symbol" w:cs="Symbol"/>
      </w:rPr>
    </w:lvl>
    <w:lvl w:ilvl="4" w:tplc="C6F40506">
      <w:start w:val="1"/>
      <w:numFmt w:val="bullet"/>
      <w:lvlText w:val="o"/>
      <w:lvlJc w:val="left"/>
      <w:pPr>
        <w:ind w:left="3600" w:hanging="360"/>
      </w:pPr>
      <w:rPr>
        <w:rFonts w:ascii="Courier New" w:hAnsi="Courier New" w:cs="Courier New"/>
      </w:rPr>
    </w:lvl>
    <w:lvl w:ilvl="5" w:tplc="1EC851DA">
      <w:start w:val="1"/>
      <w:numFmt w:val="bullet"/>
      <w:lvlText w:val=""/>
      <w:lvlJc w:val="left"/>
      <w:pPr>
        <w:ind w:left="4320" w:hanging="360"/>
      </w:pPr>
      <w:rPr>
        <w:rFonts w:ascii="Wingdings" w:hAnsi="Wingdings" w:cs="Wingdings"/>
      </w:rPr>
    </w:lvl>
    <w:lvl w:ilvl="6" w:tplc="A150F742">
      <w:start w:val="1"/>
      <w:numFmt w:val="bullet"/>
      <w:lvlText w:val=""/>
      <w:lvlJc w:val="left"/>
      <w:pPr>
        <w:ind w:left="5040" w:hanging="360"/>
      </w:pPr>
      <w:rPr>
        <w:rFonts w:ascii="Symbol" w:hAnsi="Symbol" w:cs="Symbol"/>
      </w:rPr>
    </w:lvl>
    <w:lvl w:ilvl="7" w:tplc="587011AC">
      <w:start w:val="1"/>
      <w:numFmt w:val="bullet"/>
      <w:lvlText w:val="o"/>
      <w:lvlJc w:val="left"/>
      <w:pPr>
        <w:ind w:left="5760" w:hanging="360"/>
      </w:pPr>
      <w:rPr>
        <w:rFonts w:ascii="Courier New" w:hAnsi="Courier New" w:cs="Courier New"/>
      </w:rPr>
    </w:lvl>
    <w:lvl w:ilvl="8" w:tplc="7622654C">
      <w:start w:val="1"/>
      <w:numFmt w:val="bullet"/>
      <w:lvlText w:val=""/>
      <w:lvlJc w:val="left"/>
      <w:pPr>
        <w:ind w:left="6480" w:hanging="360"/>
      </w:pPr>
      <w:rPr>
        <w:rFonts w:ascii="Wingdings" w:hAnsi="Wingdings" w:cs="Wingdings"/>
      </w:rPr>
    </w:lvl>
  </w:abstractNum>
  <w:abstractNum w:abstractNumId="11" w15:restartNumberingAfterBreak="0">
    <w:nsid w:val="32995C24"/>
    <w:multiLevelType w:val="hybridMultilevel"/>
    <w:tmpl w:val="4EE651BA"/>
    <w:lvl w:ilvl="0" w:tplc="D0AA9EC4">
      <w:start w:val="1"/>
      <w:numFmt w:val="bullet"/>
      <w:lvlText w:val=""/>
      <w:lvlJc w:val="left"/>
      <w:pPr>
        <w:ind w:left="720" w:hanging="360"/>
      </w:pPr>
      <w:rPr>
        <w:rFonts w:ascii="Symbol" w:hAnsi="Symbol" w:cs="Symbol"/>
        <w:color w:val="E36C0A"/>
        <w:sz w:val="24"/>
      </w:rPr>
    </w:lvl>
    <w:lvl w:ilvl="1" w:tplc="3432E086">
      <w:start w:val="1"/>
      <w:numFmt w:val="bullet"/>
      <w:lvlText w:val="o"/>
      <w:lvlJc w:val="left"/>
      <w:pPr>
        <w:ind w:left="1440" w:hanging="360"/>
      </w:pPr>
      <w:rPr>
        <w:rFonts w:ascii="Courier New" w:hAnsi="Courier New" w:cs="Courier New"/>
        <w:sz w:val="24"/>
      </w:rPr>
    </w:lvl>
    <w:lvl w:ilvl="2" w:tplc="F0EE616E">
      <w:start w:val="1"/>
      <w:numFmt w:val="bullet"/>
      <w:lvlText w:val=""/>
      <w:lvlJc w:val="left"/>
      <w:pPr>
        <w:ind w:left="2160" w:hanging="360"/>
      </w:pPr>
      <w:rPr>
        <w:rFonts w:ascii="Wingdings" w:hAnsi="Wingdings" w:cs="Wingdings"/>
        <w:sz w:val="24"/>
      </w:rPr>
    </w:lvl>
    <w:lvl w:ilvl="3" w:tplc="121ACF88">
      <w:start w:val="1"/>
      <w:numFmt w:val="bullet"/>
      <w:lvlText w:val=""/>
      <w:lvlJc w:val="left"/>
      <w:pPr>
        <w:ind w:left="2880" w:hanging="360"/>
      </w:pPr>
      <w:rPr>
        <w:rFonts w:ascii="Symbol" w:hAnsi="Symbol" w:cs="Symbol"/>
        <w:sz w:val="24"/>
      </w:rPr>
    </w:lvl>
    <w:lvl w:ilvl="4" w:tplc="43AA549C">
      <w:start w:val="1"/>
      <w:numFmt w:val="bullet"/>
      <w:lvlText w:val="o"/>
      <w:lvlJc w:val="left"/>
      <w:pPr>
        <w:ind w:left="3600" w:hanging="360"/>
      </w:pPr>
      <w:rPr>
        <w:rFonts w:ascii="Courier New" w:hAnsi="Courier New" w:cs="Courier New"/>
        <w:sz w:val="24"/>
      </w:rPr>
    </w:lvl>
    <w:lvl w:ilvl="5" w:tplc="5E28C378">
      <w:start w:val="1"/>
      <w:numFmt w:val="bullet"/>
      <w:lvlText w:val=""/>
      <w:lvlJc w:val="left"/>
      <w:pPr>
        <w:ind w:left="4320" w:hanging="360"/>
      </w:pPr>
      <w:rPr>
        <w:rFonts w:ascii="Wingdings" w:hAnsi="Wingdings" w:cs="Wingdings"/>
        <w:sz w:val="24"/>
      </w:rPr>
    </w:lvl>
    <w:lvl w:ilvl="6" w:tplc="58DA16F0">
      <w:start w:val="1"/>
      <w:numFmt w:val="bullet"/>
      <w:lvlText w:val=""/>
      <w:lvlJc w:val="left"/>
      <w:pPr>
        <w:ind w:left="5040" w:hanging="360"/>
      </w:pPr>
      <w:rPr>
        <w:rFonts w:ascii="Symbol" w:hAnsi="Symbol" w:cs="Symbol"/>
        <w:sz w:val="24"/>
      </w:rPr>
    </w:lvl>
    <w:lvl w:ilvl="7" w:tplc="65EA49E2">
      <w:start w:val="1"/>
      <w:numFmt w:val="bullet"/>
      <w:lvlText w:val="o"/>
      <w:lvlJc w:val="left"/>
      <w:pPr>
        <w:ind w:left="5760" w:hanging="360"/>
      </w:pPr>
      <w:rPr>
        <w:rFonts w:ascii="Courier New" w:hAnsi="Courier New" w:cs="Courier New"/>
        <w:sz w:val="24"/>
      </w:rPr>
    </w:lvl>
    <w:lvl w:ilvl="8" w:tplc="DE948B12">
      <w:start w:val="1"/>
      <w:numFmt w:val="bullet"/>
      <w:lvlText w:val=""/>
      <w:lvlJc w:val="left"/>
      <w:pPr>
        <w:ind w:left="6480" w:hanging="360"/>
      </w:pPr>
      <w:rPr>
        <w:rFonts w:ascii="Wingdings" w:hAnsi="Wingdings" w:cs="Wingdings"/>
        <w:sz w:val="24"/>
      </w:rPr>
    </w:lvl>
  </w:abstractNum>
  <w:abstractNum w:abstractNumId="12" w15:restartNumberingAfterBreak="0">
    <w:nsid w:val="329C59DB"/>
    <w:multiLevelType w:val="hybridMultilevel"/>
    <w:tmpl w:val="DA6022B8"/>
    <w:lvl w:ilvl="0" w:tplc="31284F7A">
      <w:start w:val="1"/>
      <w:numFmt w:val="bullet"/>
      <w:lvlText w:val=""/>
      <w:lvlJc w:val="left"/>
      <w:pPr>
        <w:ind w:left="720" w:hanging="360"/>
      </w:pPr>
      <w:rPr>
        <w:rFonts w:ascii="Symbol" w:hAnsi="Symbol" w:cs="Symbol"/>
        <w:color w:val="E36C0A"/>
        <w:sz w:val="24"/>
      </w:rPr>
    </w:lvl>
    <w:lvl w:ilvl="1" w:tplc="6CF8C8C2">
      <w:start w:val="1"/>
      <w:numFmt w:val="bullet"/>
      <w:lvlText w:val=""/>
      <w:lvlJc w:val="left"/>
      <w:pPr>
        <w:ind w:left="720" w:hanging="360"/>
      </w:pPr>
      <w:rPr>
        <w:rFonts w:ascii="Symbol" w:hAnsi="Symbol" w:cs="Symbol"/>
        <w:color w:val="E36C0A"/>
        <w:sz w:val="24"/>
      </w:rPr>
    </w:lvl>
    <w:lvl w:ilvl="2" w:tplc="56267C42">
      <w:start w:val="1"/>
      <w:numFmt w:val="bullet"/>
      <w:lvlText w:val=""/>
      <w:lvlJc w:val="left"/>
      <w:pPr>
        <w:ind w:left="720" w:hanging="360"/>
      </w:pPr>
      <w:rPr>
        <w:rFonts w:ascii="Symbol" w:hAnsi="Symbol" w:cs="Symbol"/>
        <w:color w:val="E36C0A"/>
        <w:sz w:val="24"/>
      </w:rPr>
    </w:lvl>
    <w:lvl w:ilvl="3" w:tplc="73308128">
      <w:start w:val="1"/>
      <w:numFmt w:val="bullet"/>
      <w:lvlText w:val=""/>
      <w:lvlJc w:val="left"/>
      <w:pPr>
        <w:ind w:left="720" w:hanging="360"/>
      </w:pPr>
      <w:rPr>
        <w:rFonts w:ascii="Symbol" w:hAnsi="Symbol" w:cs="Symbol"/>
        <w:color w:val="E36C0A"/>
        <w:sz w:val="24"/>
      </w:rPr>
    </w:lvl>
    <w:lvl w:ilvl="4" w:tplc="59046FDA">
      <w:start w:val="1"/>
      <w:numFmt w:val="bullet"/>
      <w:lvlText w:val=""/>
      <w:lvlJc w:val="left"/>
      <w:pPr>
        <w:ind w:left="720" w:hanging="360"/>
      </w:pPr>
      <w:rPr>
        <w:rFonts w:ascii="Symbol" w:hAnsi="Symbol" w:cs="Symbol"/>
        <w:color w:val="E36C0A"/>
        <w:sz w:val="24"/>
      </w:rPr>
    </w:lvl>
    <w:lvl w:ilvl="5" w:tplc="80FE0918">
      <w:start w:val="1"/>
      <w:numFmt w:val="bullet"/>
      <w:lvlText w:val=""/>
      <w:lvlJc w:val="left"/>
      <w:pPr>
        <w:ind w:left="720" w:hanging="360"/>
      </w:pPr>
      <w:rPr>
        <w:rFonts w:ascii="Symbol" w:hAnsi="Symbol" w:cs="Symbol"/>
        <w:color w:val="E36C0A"/>
        <w:sz w:val="24"/>
      </w:rPr>
    </w:lvl>
    <w:lvl w:ilvl="6" w:tplc="28387160">
      <w:start w:val="1"/>
      <w:numFmt w:val="bullet"/>
      <w:lvlText w:val=""/>
      <w:lvlJc w:val="left"/>
      <w:pPr>
        <w:ind w:left="720" w:hanging="360"/>
      </w:pPr>
      <w:rPr>
        <w:rFonts w:ascii="Symbol" w:hAnsi="Symbol" w:cs="Symbol"/>
        <w:color w:val="E36C0A"/>
        <w:sz w:val="24"/>
      </w:rPr>
    </w:lvl>
    <w:lvl w:ilvl="7" w:tplc="06E84172">
      <w:start w:val="1"/>
      <w:numFmt w:val="bullet"/>
      <w:lvlText w:val=""/>
      <w:lvlJc w:val="left"/>
      <w:pPr>
        <w:ind w:left="720" w:hanging="360"/>
      </w:pPr>
      <w:rPr>
        <w:rFonts w:ascii="Symbol" w:hAnsi="Symbol" w:cs="Symbol"/>
        <w:color w:val="E36C0A"/>
        <w:sz w:val="24"/>
      </w:rPr>
    </w:lvl>
    <w:lvl w:ilvl="8" w:tplc="054C855C">
      <w:start w:val="1"/>
      <w:numFmt w:val="bullet"/>
      <w:lvlText w:val=""/>
      <w:lvlJc w:val="left"/>
      <w:pPr>
        <w:ind w:left="720" w:hanging="360"/>
      </w:pPr>
      <w:rPr>
        <w:rFonts w:ascii="Symbol" w:hAnsi="Symbol" w:cs="Symbol"/>
        <w:color w:val="E36C0A"/>
        <w:sz w:val="24"/>
      </w:rPr>
    </w:lvl>
  </w:abstractNum>
  <w:abstractNum w:abstractNumId="13" w15:restartNumberingAfterBreak="0">
    <w:nsid w:val="35651C37"/>
    <w:multiLevelType w:val="hybridMultilevel"/>
    <w:tmpl w:val="4AAAE07A"/>
    <w:lvl w:ilvl="0" w:tplc="61E89486">
      <w:start w:val="1"/>
      <w:numFmt w:val="bullet"/>
      <w:lvlText w:val=""/>
      <w:lvlJc w:val="left"/>
      <w:pPr>
        <w:ind w:left="720" w:hanging="360"/>
      </w:pPr>
      <w:rPr>
        <w:rFonts w:ascii="Symbol" w:hAnsi="Symbol" w:cs="Symbol"/>
      </w:rPr>
    </w:lvl>
    <w:lvl w:ilvl="1" w:tplc="532AE288">
      <w:start w:val="1"/>
      <w:numFmt w:val="bullet"/>
      <w:lvlText w:val="o"/>
      <w:lvlJc w:val="left"/>
      <w:pPr>
        <w:ind w:left="1440" w:hanging="360"/>
      </w:pPr>
      <w:rPr>
        <w:rFonts w:ascii="Courier New" w:hAnsi="Courier New" w:cs="Courier New"/>
      </w:rPr>
    </w:lvl>
    <w:lvl w:ilvl="2" w:tplc="14A42A32">
      <w:start w:val="1"/>
      <w:numFmt w:val="bullet"/>
      <w:lvlText w:val=""/>
      <w:lvlJc w:val="left"/>
      <w:pPr>
        <w:ind w:left="2160" w:hanging="360"/>
      </w:pPr>
      <w:rPr>
        <w:rFonts w:ascii="Wingdings" w:hAnsi="Wingdings" w:cs="Wingdings"/>
      </w:rPr>
    </w:lvl>
    <w:lvl w:ilvl="3" w:tplc="04FA65E2">
      <w:start w:val="1"/>
      <w:numFmt w:val="bullet"/>
      <w:lvlText w:val=""/>
      <w:lvlJc w:val="left"/>
      <w:pPr>
        <w:ind w:left="2880" w:hanging="360"/>
      </w:pPr>
      <w:rPr>
        <w:rFonts w:ascii="Symbol" w:hAnsi="Symbol" w:cs="Symbol"/>
      </w:rPr>
    </w:lvl>
    <w:lvl w:ilvl="4" w:tplc="1C74ED9E">
      <w:start w:val="1"/>
      <w:numFmt w:val="bullet"/>
      <w:lvlText w:val="o"/>
      <w:lvlJc w:val="left"/>
      <w:pPr>
        <w:ind w:left="3600" w:hanging="360"/>
      </w:pPr>
      <w:rPr>
        <w:rFonts w:ascii="Courier New" w:hAnsi="Courier New" w:cs="Courier New"/>
      </w:rPr>
    </w:lvl>
    <w:lvl w:ilvl="5" w:tplc="814E2D3C">
      <w:start w:val="1"/>
      <w:numFmt w:val="bullet"/>
      <w:lvlText w:val=""/>
      <w:lvlJc w:val="left"/>
      <w:pPr>
        <w:ind w:left="4320" w:hanging="360"/>
      </w:pPr>
      <w:rPr>
        <w:rFonts w:ascii="Wingdings" w:hAnsi="Wingdings" w:cs="Wingdings"/>
      </w:rPr>
    </w:lvl>
    <w:lvl w:ilvl="6" w:tplc="C9682334">
      <w:start w:val="1"/>
      <w:numFmt w:val="bullet"/>
      <w:lvlText w:val=""/>
      <w:lvlJc w:val="left"/>
      <w:pPr>
        <w:ind w:left="5040" w:hanging="360"/>
      </w:pPr>
      <w:rPr>
        <w:rFonts w:ascii="Symbol" w:hAnsi="Symbol" w:cs="Symbol"/>
      </w:rPr>
    </w:lvl>
    <w:lvl w:ilvl="7" w:tplc="F5880520">
      <w:start w:val="1"/>
      <w:numFmt w:val="bullet"/>
      <w:lvlText w:val="o"/>
      <w:lvlJc w:val="left"/>
      <w:pPr>
        <w:ind w:left="5760" w:hanging="360"/>
      </w:pPr>
      <w:rPr>
        <w:rFonts w:ascii="Courier New" w:hAnsi="Courier New" w:cs="Courier New"/>
      </w:rPr>
    </w:lvl>
    <w:lvl w:ilvl="8" w:tplc="DCA43282">
      <w:start w:val="1"/>
      <w:numFmt w:val="bullet"/>
      <w:lvlText w:val=""/>
      <w:lvlJc w:val="left"/>
      <w:pPr>
        <w:ind w:left="6480" w:hanging="360"/>
      </w:pPr>
      <w:rPr>
        <w:rFonts w:ascii="Wingdings" w:hAnsi="Wingdings" w:cs="Wingdings"/>
      </w:rPr>
    </w:lvl>
  </w:abstractNum>
  <w:abstractNum w:abstractNumId="14" w15:restartNumberingAfterBreak="0">
    <w:nsid w:val="3CAD03FA"/>
    <w:multiLevelType w:val="hybridMultilevel"/>
    <w:tmpl w:val="BB380364"/>
    <w:lvl w:ilvl="0" w:tplc="4A7247CC">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3D0C2D9D"/>
    <w:multiLevelType w:val="hybridMultilevel"/>
    <w:tmpl w:val="4A8673B0"/>
    <w:lvl w:ilvl="0" w:tplc="9C0AD990">
      <w:start w:val="1"/>
      <w:numFmt w:val="bullet"/>
      <w:lvlText w:val=""/>
      <w:lvlJc w:val="left"/>
      <w:pPr>
        <w:ind w:left="720" w:hanging="360"/>
      </w:pPr>
      <w:rPr>
        <w:rFonts w:ascii="Symbol" w:hAnsi="Symbol" w:cs="Symbol"/>
        <w:color w:val="E36C0A"/>
        <w:sz w:val="24"/>
      </w:rPr>
    </w:lvl>
    <w:lvl w:ilvl="1" w:tplc="1B62EED8">
      <w:start w:val="1"/>
      <w:numFmt w:val="bullet"/>
      <w:lvlText w:val="o"/>
      <w:lvlJc w:val="left"/>
      <w:pPr>
        <w:ind w:left="1440" w:hanging="360"/>
      </w:pPr>
      <w:rPr>
        <w:rFonts w:ascii="Courier New" w:hAnsi="Courier New" w:cs="Courier New"/>
        <w:sz w:val="24"/>
      </w:rPr>
    </w:lvl>
    <w:lvl w:ilvl="2" w:tplc="5DE6BA40">
      <w:start w:val="1"/>
      <w:numFmt w:val="bullet"/>
      <w:lvlText w:val=""/>
      <w:lvlJc w:val="left"/>
      <w:pPr>
        <w:ind w:left="2160" w:hanging="360"/>
      </w:pPr>
      <w:rPr>
        <w:rFonts w:ascii="Wingdings" w:hAnsi="Wingdings" w:cs="Wingdings"/>
        <w:sz w:val="24"/>
      </w:rPr>
    </w:lvl>
    <w:lvl w:ilvl="3" w:tplc="BF6079E2">
      <w:start w:val="1"/>
      <w:numFmt w:val="bullet"/>
      <w:lvlText w:val=""/>
      <w:lvlJc w:val="left"/>
      <w:pPr>
        <w:ind w:left="2880" w:hanging="360"/>
      </w:pPr>
      <w:rPr>
        <w:rFonts w:ascii="Symbol" w:hAnsi="Symbol" w:cs="Symbol"/>
        <w:sz w:val="24"/>
      </w:rPr>
    </w:lvl>
    <w:lvl w:ilvl="4" w:tplc="3EAEF726">
      <w:start w:val="1"/>
      <w:numFmt w:val="bullet"/>
      <w:lvlText w:val="o"/>
      <w:lvlJc w:val="left"/>
      <w:pPr>
        <w:ind w:left="3600" w:hanging="360"/>
      </w:pPr>
      <w:rPr>
        <w:rFonts w:ascii="Courier New" w:hAnsi="Courier New" w:cs="Courier New"/>
        <w:sz w:val="24"/>
      </w:rPr>
    </w:lvl>
    <w:lvl w:ilvl="5" w:tplc="FB6882CE">
      <w:start w:val="1"/>
      <w:numFmt w:val="bullet"/>
      <w:lvlText w:val=""/>
      <w:lvlJc w:val="left"/>
      <w:pPr>
        <w:ind w:left="4320" w:hanging="360"/>
      </w:pPr>
      <w:rPr>
        <w:rFonts w:ascii="Wingdings" w:hAnsi="Wingdings" w:cs="Wingdings"/>
        <w:sz w:val="24"/>
      </w:rPr>
    </w:lvl>
    <w:lvl w:ilvl="6" w:tplc="A3C432FA">
      <w:start w:val="1"/>
      <w:numFmt w:val="bullet"/>
      <w:lvlText w:val=""/>
      <w:lvlJc w:val="left"/>
      <w:pPr>
        <w:ind w:left="5040" w:hanging="360"/>
      </w:pPr>
      <w:rPr>
        <w:rFonts w:ascii="Symbol" w:hAnsi="Symbol" w:cs="Symbol"/>
        <w:sz w:val="24"/>
      </w:rPr>
    </w:lvl>
    <w:lvl w:ilvl="7" w:tplc="F92231C0">
      <w:start w:val="1"/>
      <w:numFmt w:val="bullet"/>
      <w:lvlText w:val="o"/>
      <w:lvlJc w:val="left"/>
      <w:pPr>
        <w:ind w:left="5760" w:hanging="360"/>
      </w:pPr>
      <w:rPr>
        <w:rFonts w:ascii="Courier New" w:hAnsi="Courier New" w:cs="Courier New"/>
        <w:sz w:val="24"/>
      </w:rPr>
    </w:lvl>
    <w:lvl w:ilvl="8" w:tplc="02408E9E">
      <w:start w:val="1"/>
      <w:numFmt w:val="bullet"/>
      <w:lvlText w:val=""/>
      <w:lvlJc w:val="left"/>
      <w:pPr>
        <w:ind w:left="6480" w:hanging="360"/>
      </w:pPr>
      <w:rPr>
        <w:rFonts w:ascii="Wingdings" w:hAnsi="Wingdings" w:cs="Wingdings"/>
        <w:sz w:val="24"/>
      </w:rPr>
    </w:lvl>
  </w:abstractNum>
  <w:abstractNum w:abstractNumId="16" w15:restartNumberingAfterBreak="0">
    <w:nsid w:val="429B6C94"/>
    <w:multiLevelType w:val="hybridMultilevel"/>
    <w:tmpl w:val="725CB766"/>
    <w:lvl w:ilvl="0" w:tplc="ED28B46E">
      <w:start w:val="1"/>
      <w:numFmt w:val="decimal"/>
      <w:lvlText w:val="%1."/>
      <w:lvlJc w:val="left"/>
      <w:pPr>
        <w:ind w:left="720" w:hanging="360"/>
      </w:pPr>
      <w:rPr>
        <w:rFonts w:asciiTheme="minorHAnsi" w:hAnsiTheme="minorHAns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4E139A4"/>
    <w:multiLevelType w:val="hybridMultilevel"/>
    <w:tmpl w:val="6CC68A80"/>
    <w:lvl w:ilvl="0" w:tplc="DCF8C516">
      <w:numFmt w:val="bullet"/>
      <w:lvlText w:val="•"/>
      <w:lvlJc w:val="left"/>
      <w:pPr>
        <w:ind w:left="720" w:hanging="360"/>
      </w:pPr>
      <w:rPr>
        <w:rFonts w:ascii="Times New Roman" w:eastAsia="Times New Roman" w:hAnsi="Times New Roman" w:cs="Times New Roman" w:hint="default"/>
        <w:color w:val="auto"/>
      </w:rPr>
    </w:lvl>
    <w:lvl w:ilvl="1" w:tplc="0C07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15:restartNumberingAfterBreak="0">
    <w:nsid w:val="483C5759"/>
    <w:multiLevelType w:val="hybridMultilevel"/>
    <w:tmpl w:val="869C9414"/>
    <w:lvl w:ilvl="0" w:tplc="BEA691BE">
      <w:start w:val="1"/>
      <w:numFmt w:val="bullet"/>
      <w:lvlText w:val=""/>
      <w:lvlJc w:val="right"/>
      <w:pPr>
        <w:tabs>
          <w:tab w:val="num" w:pos="644"/>
        </w:tabs>
        <w:ind w:left="644" w:hanging="356"/>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B857E7D"/>
    <w:multiLevelType w:val="hybridMultilevel"/>
    <w:tmpl w:val="8A904B3E"/>
    <w:lvl w:ilvl="0" w:tplc="1264D8CC">
      <w:start w:val="1"/>
      <w:numFmt w:val="bullet"/>
      <w:lvlText w:val=""/>
      <w:lvlJc w:val="left"/>
      <w:pPr>
        <w:ind w:left="720" w:hanging="360"/>
      </w:pPr>
      <w:rPr>
        <w:rFonts w:ascii="Wingdings" w:hAnsi="Wingdings" w:cs="Wingdings"/>
        <w:color w:val="E36C0A"/>
        <w:sz w:val="16"/>
      </w:rPr>
    </w:lvl>
    <w:lvl w:ilvl="1" w:tplc="98D6CEDE">
      <w:start w:val="1"/>
      <w:numFmt w:val="bullet"/>
      <w:lvlText w:val="o"/>
      <w:lvlJc w:val="left"/>
      <w:pPr>
        <w:ind w:left="1440" w:hanging="360"/>
      </w:pPr>
      <w:rPr>
        <w:rFonts w:ascii="Courier New" w:hAnsi="Courier New" w:cs="Courier New"/>
        <w:sz w:val="24"/>
      </w:rPr>
    </w:lvl>
    <w:lvl w:ilvl="2" w:tplc="B22A7672">
      <w:start w:val="1"/>
      <w:numFmt w:val="bullet"/>
      <w:lvlText w:val=""/>
      <w:lvlJc w:val="left"/>
      <w:pPr>
        <w:ind w:left="2160" w:hanging="360"/>
      </w:pPr>
      <w:rPr>
        <w:rFonts w:ascii="Wingdings" w:hAnsi="Wingdings" w:cs="Wingdings"/>
        <w:sz w:val="24"/>
      </w:rPr>
    </w:lvl>
    <w:lvl w:ilvl="3" w:tplc="7EE80580">
      <w:start w:val="1"/>
      <w:numFmt w:val="bullet"/>
      <w:lvlText w:val=""/>
      <w:lvlJc w:val="left"/>
      <w:pPr>
        <w:ind w:left="2880" w:hanging="360"/>
      </w:pPr>
      <w:rPr>
        <w:rFonts w:ascii="Symbol" w:hAnsi="Symbol" w:cs="Symbol"/>
        <w:sz w:val="24"/>
      </w:rPr>
    </w:lvl>
    <w:lvl w:ilvl="4" w:tplc="4CF0FF8A">
      <w:start w:val="1"/>
      <w:numFmt w:val="bullet"/>
      <w:lvlText w:val="o"/>
      <w:lvlJc w:val="left"/>
      <w:pPr>
        <w:ind w:left="3600" w:hanging="360"/>
      </w:pPr>
      <w:rPr>
        <w:rFonts w:ascii="Courier New" w:hAnsi="Courier New" w:cs="Courier New"/>
        <w:sz w:val="24"/>
      </w:rPr>
    </w:lvl>
    <w:lvl w:ilvl="5" w:tplc="1E52787E">
      <w:start w:val="1"/>
      <w:numFmt w:val="bullet"/>
      <w:lvlText w:val=""/>
      <w:lvlJc w:val="left"/>
      <w:pPr>
        <w:ind w:left="4320" w:hanging="360"/>
      </w:pPr>
      <w:rPr>
        <w:rFonts w:ascii="Wingdings" w:hAnsi="Wingdings" w:cs="Wingdings"/>
        <w:sz w:val="24"/>
      </w:rPr>
    </w:lvl>
    <w:lvl w:ilvl="6" w:tplc="E35C0532">
      <w:start w:val="1"/>
      <w:numFmt w:val="bullet"/>
      <w:lvlText w:val=""/>
      <w:lvlJc w:val="left"/>
      <w:pPr>
        <w:ind w:left="5040" w:hanging="360"/>
      </w:pPr>
      <w:rPr>
        <w:rFonts w:ascii="Symbol" w:hAnsi="Symbol" w:cs="Symbol"/>
        <w:sz w:val="24"/>
      </w:rPr>
    </w:lvl>
    <w:lvl w:ilvl="7" w:tplc="BC709728">
      <w:start w:val="1"/>
      <w:numFmt w:val="bullet"/>
      <w:lvlText w:val="o"/>
      <w:lvlJc w:val="left"/>
      <w:pPr>
        <w:ind w:left="5760" w:hanging="360"/>
      </w:pPr>
      <w:rPr>
        <w:rFonts w:ascii="Courier New" w:hAnsi="Courier New" w:cs="Courier New"/>
        <w:sz w:val="24"/>
      </w:rPr>
    </w:lvl>
    <w:lvl w:ilvl="8" w:tplc="6914A41E">
      <w:start w:val="1"/>
      <w:numFmt w:val="bullet"/>
      <w:lvlText w:val=""/>
      <w:lvlJc w:val="left"/>
      <w:pPr>
        <w:ind w:left="6480" w:hanging="360"/>
      </w:pPr>
      <w:rPr>
        <w:rFonts w:ascii="Wingdings" w:hAnsi="Wingdings" w:cs="Wingdings"/>
        <w:sz w:val="24"/>
      </w:rPr>
    </w:lvl>
  </w:abstractNum>
  <w:abstractNum w:abstractNumId="20" w15:restartNumberingAfterBreak="0">
    <w:nsid w:val="4C923441"/>
    <w:multiLevelType w:val="hybridMultilevel"/>
    <w:tmpl w:val="A43865D0"/>
    <w:lvl w:ilvl="0" w:tplc="4E5A26D2">
      <w:start w:val="1"/>
      <w:numFmt w:val="bullet"/>
      <w:lvlText w:val=""/>
      <w:lvlJc w:val="left"/>
      <w:pPr>
        <w:ind w:left="720" w:hanging="360"/>
      </w:pPr>
      <w:rPr>
        <w:rFonts w:ascii="Symbol" w:hAnsi="Symbol" w:cs="Symbol"/>
        <w:color w:val="E36C0A"/>
        <w:sz w:val="24"/>
      </w:rPr>
    </w:lvl>
    <w:lvl w:ilvl="1" w:tplc="8C5C3BB0">
      <w:start w:val="1"/>
      <w:numFmt w:val="bullet"/>
      <w:lvlText w:val="o"/>
      <w:lvlJc w:val="left"/>
      <w:pPr>
        <w:ind w:left="1440" w:hanging="360"/>
      </w:pPr>
      <w:rPr>
        <w:rFonts w:ascii="Courier New" w:hAnsi="Courier New" w:cs="Courier New"/>
        <w:sz w:val="24"/>
      </w:rPr>
    </w:lvl>
    <w:lvl w:ilvl="2" w:tplc="5C802672">
      <w:start w:val="1"/>
      <w:numFmt w:val="bullet"/>
      <w:lvlText w:val=""/>
      <w:lvlJc w:val="left"/>
      <w:pPr>
        <w:ind w:left="2160" w:hanging="360"/>
      </w:pPr>
      <w:rPr>
        <w:rFonts w:ascii="Wingdings" w:hAnsi="Wingdings" w:cs="Wingdings"/>
        <w:sz w:val="24"/>
      </w:rPr>
    </w:lvl>
    <w:lvl w:ilvl="3" w:tplc="42E00A0A">
      <w:start w:val="1"/>
      <w:numFmt w:val="bullet"/>
      <w:lvlText w:val=""/>
      <w:lvlJc w:val="left"/>
      <w:pPr>
        <w:ind w:left="2880" w:hanging="360"/>
      </w:pPr>
      <w:rPr>
        <w:rFonts w:ascii="Symbol" w:hAnsi="Symbol" w:cs="Symbol"/>
        <w:sz w:val="24"/>
      </w:rPr>
    </w:lvl>
    <w:lvl w:ilvl="4" w:tplc="8C62F254">
      <w:start w:val="1"/>
      <w:numFmt w:val="bullet"/>
      <w:lvlText w:val="o"/>
      <w:lvlJc w:val="left"/>
      <w:pPr>
        <w:ind w:left="3600" w:hanging="360"/>
      </w:pPr>
      <w:rPr>
        <w:rFonts w:ascii="Courier New" w:hAnsi="Courier New" w:cs="Courier New"/>
        <w:sz w:val="24"/>
      </w:rPr>
    </w:lvl>
    <w:lvl w:ilvl="5" w:tplc="4942D640">
      <w:start w:val="1"/>
      <w:numFmt w:val="bullet"/>
      <w:lvlText w:val=""/>
      <w:lvlJc w:val="left"/>
      <w:pPr>
        <w:ind w:left="4320" w:hanging="360"/>
      </w:pPr>
      <w:rPr>
        <w:rFonts w:ascii="Wingdings" w:hAnsi="Wingdings" w:cs="Wingdings"/>
        <w:sz w:val="24"/>
      </w:rPr>
    </w:lvl>
    <w:lvl w:ilvl="6" w:tplc="DD104852">
      <w:start w:val="1"/>
      <w:numFmt w:val="bullet"/>
      <w:lvlText w:val=""/>
      <w:lvlJc w:val="left"/>
      <w:pPr>
        <w:ind w:left="5040" w:hanging="360"/>
      </w:pPr>
      <w:rPr>
        <w:rFonts w:ascii="Symbol" w:hAnsi="Symbol" w:cs="Symbol"/>
        <w:sz w:val="24"/>
      </w:rPr>
    </w:lvl>
    <w:lvl w:ilvl="7" w:tplc="C038CD9E">
      <w:start w:val="1"/>
      <w:numFmt w:val="bullet"/>
      <w:lvlText w:val="o"/>
      <w:lvlJc w:val="left"/>
      <w:pPr>
        <w:ind w:left="5760" w:hanging="360"/>
      </w:pPr>
      <w:rPr>
        <w:rFonts w:ascii="Courier New" w:hAnsi="Courier New" w:cs="Courier New"/>
        <w:sz w:val="24"/>
      </w:rPr>
    </w:lvl>
    <w:lvl w:ilvl="8" w:tplc="E47AA36E">
      <w:start w:val="1"/>
      <w:numFmt w:val="bullet"/>
      <w:lvlText w:val=""/>
      <w:lvlJc w:val="left"/>
      <w:pPr>
        <w:ind w:left="6480" w:hanging="360"/>
      </w:pPr>
      <w:rPr>
        <w:rFonts w:ascii="Wingdings" w:hAnsi="Wingdings" w:cs="Wingdings"/>
        <w:sz w:val="24"/>
      </w:rPr>
    </w:lvl>
  </w:abstractNum>
  <w:abstractNum w:abstractNumId="21" w15:restartNumberingAfterBreak="0">
    <w:nsid w:val="4D686756"/>
    <w:multiLevelType w:val="hybridMultilevel"/>
    <w:tmpl w:val="4DE0EA22"/>
    <w:lvl w:ilvl="0" w:tplc="DFCC4858">
      <w:start w:val="1"/>
      <w:numFmt w:val="bullet"/>
      <w:lvlText w:val=""/>
      <w:lvlJc w:val="left"/>
      <w:pPr>
        <w:ind w:left="720" w:hanging="360"/>
      </w:pPr>
      <w:rPr>
        <w:rFonts w:ascii="Symbol" w:hAnsi="Symbol" w:cs="Symbol"/>
        <w:color w:val="E36C0A"/>
        <w:sz w:val="24"/>
      </w:rPr>
    </w:lvl>
    <w:lvl w:ilvl="1" w:tplc="E348E4E6">
      <w:start w:val="1"/>
      <w:numFmt w:val="bullet"/>
      <w:lvlText w:val="o"/>
      <w:lvlJc w:val="left"/>
      <w:pPr>
        <w:ind w:left="1440" w:hanging="360"/>
      </w:pPr>
      <w:rPr>
        <w:rFonts w:ascii="Courier New" w:hAnsi="Courier New" w:cs="Courier New"/>
        <w:sz w:val="24"/>
      </w:rPr>
    </w:lvl>
    <w:lvl w:ilvl="2" w:tplc="DEE6A21A">
      <w:start w:val="1"/>
      <w:numFmt w:val="bullet"/>
      <w:lvlText w:val=""/>
      <w:lvlJc w:val="left"/>
      <w:pPr>
        <w:ind w:left="2160" w:hanging="360"/>
      </w:pPr>
      <w:rPr>
        <w:rFonts w:ascii="Wingdings" w:hAnsi="Wingdings" w:cs="Wingdings"/>
        <w:sz w:val="24"/>
      </w:rPr>
    </w:lvl>
    <w:lvl w:ilvl="3" w:tplc="49801064">
      <w:start w:val="1"/>
      <w:numFmt w:val="bullet"/>
      <w:lvlText w:val=""/>
      <w:lvlJc w:val="left"/>
      <w:pPr>
        <w:ind w:left="2880" w:hanging="360"/>
      </w:pPr>
      <w:rPr>
        <w:rFonts w:ascii="Symbol" w:hAnsi="Symbol" w:cs="Symbol"/>
        <w:sz w:val="24"/>
      </w:rPr>
    </w:lvl>
    <w:lvl w:ilvl="4" w:tplc="115C463E">
      <w:start w:val="1"/>
      <w:numFmt w:val="bullet"/>
      <w:lvlText w:val="o"/>
      <w:lvlJc w:val="left"/>
      <w:pPr>
        <w:ind w:left="3600" w:hanging="360"/>
      </w:pPr>
      <w:rPr>
        <w:rFonts w:ascii="Courier New" w:hAnsi="Courier New" w:cs="Courier New"/>
        <w:sz w:val="24"/>
      </w:rPr>
    </w:lvl>
    <w:lvl w:ilvl="5" w:tplc="0DDE4B6A">
      <w:start w:val="1"/>
      <w:numFmt w:val="bullet"/>
      <w:lvlText w:val=""/>
      <w:lvlJc w:val="left"/>
      <w:pPr>
        <w:ind w:left="4320" w:hanging="360"/>
      </w:pPr>
      <w:rPr>
        <w:rFonts w:ascii="Wingdings" w:hAnsi="Wingdings" w:cs="Wingdings"/>
        <w:sz w:val="24"/>
      </w:rPr>
    </w:lvl>
    <w:lvl w:ilvl="6" w:tplc="708E84E6">
      <w:start w:val="1"/>
      <w:numFmt w:val="bullet"/>
      <w:lvlText w:val=""/>
      <w:lvlJc w:val="left"/>
      <w:pPr>
        <w:ind w:left="5040" w:hanging="360"/>
      </w:pPr>
      <w:rPr>
        <w:rFonts w:ascii="Symbol" w:hAnsi="Symbol" w:cs="Symbol"/>
        <w:sz w:val="24"/>
      </w:rPr>
    </w:lvl>
    <w:lvl w:ilvl="7" w:tplc="DEDC600C">
      <w:start w:val="1"/>
      <w:numFmt w:val="bullet"/>
      <w:lvlText w:val="o"/>
      <w:lvlJc w:val="left"/>
      <w:pPr>
        <w:ind w:left="5760" w:hanging="360"/>
      </w:pPr>
      <w:rPr>
        <w:rFonts w:ascii="Courier New" w:hAnsi="Courier New" w:cs="Courier New"/>
        <w:sz w:val="24"/>
      </w:rPr>
    </w:lvl>
    <w:lvl w:ilvl="8" w:tplc="30602D28">
      <w:start w:val="1"/>
      <w:numFmt w:val="bullet"/>
      <w:lvlText w:val=""/>
      <w:lvlJc w:val="left"/>
      <w:pPr>
        <w:ind w:left="6480" w:hanging="360"/>
      </w:pPr>
      <w:rPr>
        <w:rFonts w:ascii="Wingdings" w:hAnsi="Wingdings" w:cs="Wingdings"/>
        <w:sz w:val="24"/>
      </w:rPr>
    </w:lvl>
  </w:abstractNum>
  <w:abstractNum w:abstractNumId="22" w15:restartNumberingAfterBreak="0">
    <w:nsid w:val="55C77E7B"/>
    <w:multiLevelType w:val="hybridMultilevel"/>
    <w:tmpl w:val="298061F4"/>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3" w15:restartNumberingAfterBreak="0">
    <w:nsid w:val="5CBC7006"/>
    <w:multiLevelType w:val="hybridMultilevel"/>
    <w:tmpl w:val="BD1EDF82"/>
    <w:lvl w:ilvl="0" w:tplc="ED28B46E">
      <w:start w:val="1"/>
      <w:numFmt w:val="decimal"/>
      <w:lvlText w:val="%1."/>
      <w:lvlJc w:val="left"/>
      <w:pPr>
        <w:ind w:left="720" w:hanging="360"/>
      </w:pPr>
      <w:rPr>
        <w:rFonts w:asciiTheme="minorHAnsi" w:hAnsiTheme="minorHAnsi" w:hint="default"/>
        <w:sz w:val="20"/>
      </w:rPr>
    </w:lvl>
    <w:lvl w:ilvl="1" w:tplc="7292D094">
      <w:start w:val="1"/>
      <w:numFmt w:val="lowerLetter"/>
      <w:lvlText w:val="%2."/>
      <w:lvlJc w:val="left"/>
      <w:pPr>
        <w:ind w:left="1080" w:hanging="360"/>
      </w:pPr>
      <w:rPr>
        <w:rFonts w:ascii="Arial" w:hAnsi="Arial" w:cs="Arial"/>
      </w:rPr>
    </w:lvl>
    <w:lvl w:ilvl="2" w:tplc="40103090">
      <w:start w:val="1"/>
      <w:numFmt w:val="lowerRoman"/>
      <w:lvlText w:val="%3."/>
      <w:lvlJc w:val="left"/>
      <w:pPr>
        <w:ind w:left="1440" w:hanging="360"/>
      </w:pPr>
      <w:rPr>
        <w:rFonts w:ascii="Arial" w:hAnsi="Arial" w:cs="Arial"/>
      </w:rPr>
    </w:lvl>
    <w:lvl w:ilvl="3" w:tplc="5372AD3C">
      <w:start w:val="1"/>
      <w:numFmt w:val="decimal"/>
      <w:lvlText w:val="%4."/>
      <w:lvlJc w:val="left"/>
      <w:pPr>
        <w:ind w:left="1800" w:hanging="360"/>
      </w:pPr>
      <w:rPr>
        <w:rFonts w:ascii="Arial" w:hAnsi="Arial" w:cs="Arial"/>
      </w:rPr>
    </w:lvl>
    <w:lvl w:ilvl="4" w:tplc="692E6C64">
      <w:start w:val="1"/>
      <w:numFmt w:val="lowerLetter"/>
      <w:lvlText w:val="%5."/>
      <w:lvlJc w:val="left"/>
      <w:pPr>
        <w:ind w:left="2160" w:hanging="360"/>
      </w:pPr>
      <w:rPr>
        <w:rFonts w:ascii="Arial" w:hAnsi="Arial" w:cs="Arial"/>
      </w:rPr>
    </w:lvl>
    <w:lvl w:ilvl="5" w:tplc="B3BA61B0">
      <w:start w:val="1"/>
      <w:numFmt w:val="lowerRoman"/>
      <w:lvlText w:val="%6."/>
      <w:lvlJc w:val="left"/>
      <w:pPr>
        <w:ind w:left="2520" w:hanging="360"/>
      </w:pPr>
      <w:rPr>
        <w:rFonts w:ascii="Arial" w:hAnsi="Arial" w:cs="Arial"/>
      </w:rPr>
    </w:lvl>
    <w:lvl w:ilvl="6" w:tplc="1E5C139E">
      <w:start w:val="1"/>
      <w:numFmt w:val="decimal"/>
      <w:lvlText w:val="%7."/>
      <w:lvlJc w:val="left"/>
      <w:pPr>
        <w:ind w:left="2880" w:hanging="360"/>
      </w:pPr>
      <w:rPr>
        <w:rFonts w:ascii="Arial" w:hAnsi="Arial" w:cs="Arial"/>
      </w:rPr>
    </w:lvl>
    <w:lvl w:ilvl="7" w:tplc="F13E6D0C">
      <w:start w:val="1"/>
      <w:numFmt w:val="lowerLetter"/>
      <w:lvlText w:val="%8."/>
      <w:lvlJc w:val="left"/>
      <w:pPr>
        <w:ind w:left="3240" w:hanging="360"/>
      </w:pPr>
      <w:rPr>
        <w:rFonts w:ascii="Arial" w:hAnsi="Arial" w:cs="Arial"/>
      </w:rPr>
    </w:lvl>
    <w:lvl w:ilvl="8" w:tplc="FBC44BB8">
      <w:start w:val="1"/>
      <w:numFmt w:val="lowerRoman"/>
      <w:lvlText w:val="%9."/>
      <w:lvlJc w:val="left"/>
      <w:pPr>
        <w:ind w:left="3600" w:hanging="360"/>
      </w:pPr>
      <w:rPr>
        <w:rFonts w:ascii="Arial" w:hAnsi="Arial" w:cs="Arial"/>
      </w:rPr>
    </w:lvl>
  </w:abstractNum>
  <w:abstractNum w:abstractNumId="24" w15:restartNumberingAfterBreak="0">
    <w:nsid w:val="5EEB1D19"/>
    <w:multiLevelType w:val="hybridMultilevel"/>
    <w:tmpl w:val="EE0CF30A"/>
    <w:lvl w:ilvl="0" w:tplc="468CF248">
      <w:start w:val="1"/>
      <w:numFmt w:val="bullet"/>
      <w:lvlText w:val=""/>
      <w:lvlJc w:val="left"/>
      <w:pPr>
        <w:ind w:left="720" w:hanging="360"/>
      </w:pPr>
      <w:rPr>
        <w:rFonts w:ascii="Symbol" w:hAnsi="Symbol" w:cs="Symbol"/>
      </w:rPr>
    </w:lvl>
    <w:lvl w:ilvl="1" w:tplc="39A86B7E">
      <w:start w:val="1"/>
      <w:numFmt w:val="bullet"/>
      <w:lvlText w:val="o"/>
      <w:lvlJc w:val="left"/>
      <w:pPr>
        <w:ind w:left="1440" w:hanging="360"/>
      </w:pPr>
      <w:rPr>
        <w:rFonts w:ascii="Courier New" w:hAnsi="Courier New" w:cs="Courier New"/>
      </w:rPr>
    </w:lvl>
    <w:lvl w:ilvl="2" w:tplc="492C9778">
      <w:start w:val="1"/>
      <w:numFmt w:val="bullet"/>
      <w:lvlText w:val=""/>
      <w:lvlJc w:val="left"/>
      <w:pPr>
        <w:ind w:left="2160" w:hanging="360"/>
      </w:pPr>
      <w:rPr>
        <w:rFonts w:ascii="Wingdings" w:hAnsi="Wingdings" w:cs="Wingdings"/>
      </w:rPr>
    </w:lvl>
    <w:lvl w:ilvl="3" w:tplc="84BECB6C">
      <w:start w:val="1"/>
      <w:numFmt w:val="bullet"/>
      <w:lvlText w:val=""/>
      <w:lvlJc w:val="left"/>
      <w:pPr>
        <w:ind w:left="2880" w:hanging="360"/>
      </w:pPr>
      <w:rPr>
        <w:rFonts w:ascii="Symbol" w:hAnsi="Symbol" w:cs="Symbol"/>
      </w:rPr>
    </w:lvl>
    <w:lvl w:ilvl="4" w:tplc="6C3CD482">
      <w:start w:val="1"/>
      <w:numFmt w:val="bullet"/>
      <w:lvlText w:val="o"/>
      <w:lvlJc w:val="left"/>
      <w:pPr>
        <w:ind w:left="3600" w:hanging="360"/>
      </w:pPr>
      <w:rPr>
        <w:rFonts w:ascii="Courier New" w:hAnsi="Courier New" w:cs="Courier New"/>
      </w:rPr>
    </w:lvl>
    <w:lvl w:ilvl="5" w:tplc="331C48B2">
      <w:start w:val="1"/>
      <w:numFmt w:val="bullet"/>
      <w:lvlText w:val=""/>
      <w:lvlJc w:val="left"/>
      <w:pPr>
        <w:ind w:left="4320" w:hanging="360"/>
      </w:pPr>
      <w:rPr>
        <w:rFonts w:ascii="Wingdings" w:hAnsi="Wingdings" w:cs="Wingdings"/>
      </w:rPr>
    </w:lvl>
    <w:lvl w:ilvl="6" w:tplc="2D6A9EF2">
      <w:start w:val="1"/>
      <w:numFmt w:val="bullet"/>
      <w:lvlText w:val=""/>
      <w:lvlJc w:val="left"/>
      <w:pPr>
        <w:ind w:left="5040" w:hanging="360"/>
      </w:pPr>
      <w:rPr>
        <w:rFonts w:ascii="Symbol" w:hAnsi="Symbol" w:cs="Symbol"/>
      </w:rPr>
    </w:lvl>
    <w:lvl w:ilvl="7" w:tplc="2744A986">
      <w:start w:val="1"/>
      <w:numFmt w:val="bullet"/>
      <w:lvlText w:val="o"/>
      <w:lvlJc w:val="left"/>
      <w:pPr>
        <w:ind w:left="5760" w:hanging="360"/>
      </w:pPr>
      <w:rPr>
        <w:rFonts w:ascii="Courier New" w:hAnsi="Courier New" w:cs="Courier New"/>
      </w:rPr>
    </w:lvl>
    <w:lvl w:ilvl="8" w:tplc="F30EE130">
      <w:start w:val="1"/>
      <w:numFmt w:val="bullet"/>
      <w:lvlText w:val=""/>
      <w:lvlJc w:val="left"/>
      <w:pPr>
        <w:ind w:left="6480" w:hanging="360"/>
      </w:pPr>
      <w:rPr>
        <w:rFonts w:ascii="Wingdings" w:hAnsi="Wingdings" w:cs="Wingdings"/>
      </w:rPr>
    </w:lvl>
  </w:abstractNum>
  <w:abstractNum w:abstractNumId="25" w15:restartNumberingAfterBreak="0">
    <w:nsid w:val="6446167E"/>
    <w:multiLevelType w:val="hybridMultilevel"/>
    <w:tmpl w:val="18AC00F2"/>
    <w:lvl w:ilvl="0" w:tplc="4A7247CC">
      <w:numFmt w:val="bullet"/>
      <w:lvlText w:val="•"/>
      <w:lvlJc w:val="left"/>
      <w:pPr>
        <w:ind w:left="720" w:hanging="360"/>
      </w:pPr>
      <w:rPr>
        <w:rFonts w:ascii="Times New Roman" w:eastAsia="Times New Roman" w:hAnsi="Times New Roman" w:cs="Times New Roman" w:hint="default"/>
        <w:color w:val="E36C0A"/>
        <w:sz w:val="16"/>
      </w:rPr>
    </w:lvl>
    <w:lvl w:ilvl="1" w:tplc="E014DA74">
      <w:start w:val="1"/>
      <w:numFmt w:val="bullet"/>
      <w:lvlText w:val="o"/>
      <w:lvlJc w:val="left"/>
      <w:pPr>
        <w:ind w:left="1440" w:hanging="360"/>
      </w:pPr>
      <w:rPr>
        <w:rFonts w:ascii="Courier New" w:hAnsi="Courier New" w:cs="Courier New"/>
        <w:sz w:val="24"/>
      </w:rPr>
    </w:lvl>
    <w:lvl w:ilvl="2" w:tplc="1A4A08B8">
      <w:start w:val="1"/>
      <w:numFmt w:val="bullet"/>
      <w:lvlText w:val=""/>
      <w:lvlJc w:val="left"/>
      <w:pPr>
        <w:ind w:left="2160" w:hanging="360"/>
      </w:pPr>
      <w:rPr>
        <w:rFonts w:ascii="Wingdings" w:hAnsi="Wingdings" w:cs="Wingdings"/>
        <w:sz w:val="24"/>
      </w:rPr>
    </w:lvl>
    <w:lvl w:ilvl="3" w:tplc="D01EB598">
      <w:start w:val="1"/>
      <w:numFmt w:val="bullet"/>
      <w:lvlText w:val=""/>
      <w:lvlJc w:val="left"/>
      <w:pPr>
        <w:ind w:left="2880" w:hanging="360"/>
      </w:pPr>
      <w:rPr>
        <w:rFonts w:ascii="Symbol" w:hAnsi="Symbol" w:cs="Symbol"/>
        <w:sz w:val="24"/>
      </w:rPr>
    </w:lvl>
    <w:lvl w:ilvl="4" w:tplc="30241EF6">
      <w:start w:val="1"/>
      <w:numFmt w:val="bullet"/>
      <w:lvlText w:val="o"/>
      <w:lvlJc w:val="left"/>
      <w:pPr>
        <w:ind w:left="3600" w:hanging="360"/>
      </w:pPr>
      <w:rPr>
        <w:rFonts w:ascii="Courier New" w:hAnsi="Courier New" w:cs="Courier New"/>
        <w:sz w:val="24"/>
      </w:rPr>
    </w:lvl>
    <w:lvl w:ilvl="5" w:tplc="477E13C8">
      <w:start w:val="1"/>
      <w:numFmt w:val="bullet"/>
      <w:lvlText w:val=""/>
      <w:lvlJc w:val="left"/>
      <w:pPr>
        <w:ind w:left="4320" w:hanging="360"/>
      </w:pPr>
      <w:rPr>
        <w:rFonts w:ascii="Wingdings" w:hAnsi="Wingdings" w:cs="Wingdings"/>
        <w:sz w:val="24"/>
      </w:rPr>
    </w:lvl>
    <w:lvl w:ilvl="6" w:tplc="4582ED20">
      <w:start w:val="1"/>
      <w:numFmt w:val="bullet"/>
      <w:lvlText w:val=""/>
      <w:lvlJc w:val="left"/>
      <w:pPr>
        <w:ind w:left="5040" w:hanging="360"/>
      </w:pPr>
      <w:rPr>
        <w:rFonts w:ascii="Symbol" w:hAnsi="Symbol" w:cs="Symbol"/>
        <w:sz w:val="24"/>
      </w:rPr>
    </w:lvl>
    <w:lvl w:ilvl="7" w:tplc="A0568E1A">
      <w:start w:val="1"/>
      <w:numFmt w:val="bullet"/>
      <w:lvlText w:val="o"/>
      <w:lvlJc w:val="left"/>
      <w:pPr>
        <w:ind w:left="5760" w:hanging="360"/>
      </w:pPr>
      <w:rPr>
        <w:rFonts w:ascii="Courier New" w:hAnsi="Courier New" w:cs="Courier New"/>
        <w:sz w:val="24"/>
      </w:rPr>
    </w:lvl>
    <w:lvl w:ilvl="8" w:tplc="F3803626">
      <w:start w:val="1"/>
      <w:numFmt w:val="bullet"/>
      <w:lvlText w:val=""/>
      <w:lvlJc w:val="left"/>
      <w:pPr>
        <w:ind w:left="6480" w:hanging="360"/>
      </w:pPr>
      <w:rPr>
        <w:rFonts w:ascii="Wingdings" w:hAnsi="Wingdings" w:cs="Wingdings"/>
        <w:sz w:val="24"/>
      </w:rPr>
    </w:lvl>
  </w:abstractNum>
  <w:abstractNum w:abstractNumId="26" w15:restartNumberingAfterBreak="0">
    <w:nsid w:val="66202F5A"/>
    <w:multiLevelType w:val="hybridMultilevel"/>
    <w:tmpl w:val="8966AF22"/>
    <w:lvl w:ilvl="0" w:tplc="29D41DF0">
      <w:start w:val="1"/>
      <w:numFmt w:val="bullet"/>
      <w:lvlText w:val=""/>
      <w:lvlJc w:val="left"/>
      <w:pPr>
        <w:ind w:left="720" w:hanging="360"/>
      </w:pPr>
      <w:rPr>
        <w:rFonts w:ascii="Symbol" w:hAnsi="Symbol" w:cs="Symbol"/>
        <w:color w:val="E36C0A"/>
        <w:sz w:val="24"/>
      </w:rPr>
    </w:lvl>
    <w:lvl w:ilvl="1" w:tplc="E46EF160">
      <w:start w:val="1"/>
      <w:numFmt w:val="bullet"/>
      <w:lvlText w:val=""/>
      <w:lvlJc w:val="left"/>
      <w:pPr>
        <w:ind w:left="720" w:hanging="360"/>
      </w:pPr>
      <w:rPr>
        <w:rFonts w:ascii="Symbol" w:hAnsi="Symbol" w:cs="Symbol"/>
        <w:color w:val="E36C0A"/>
        <w:sz w:val="24"/>
      </w:rPr>
    </w:lvl>
    <w:lvl w:ilvl="2" w:tplc="839A0FD8">
      <w:start w:val="1"/>
      <w:numFmt w:val="bullet"/>
      <w:lvlText w:val=""/>
      <w:lvlJc w:val="left"/>
      <w:pPr>
        <w:ind w:left="720" w:hanging="360"/>
      </w:pPr>
      <w:rPr>
        <w:rFonts w:ascii="Symbol" w:hAnsi="Symbol" w:cs="Symbol"/>
        <w:color w:val="E36C0A"/>
        <w:sz w:val="24"/>
      </w:rPr>
    </w:lvl>
    <w:lvl w:ilvl="3" w:tplc="3FC4A926">
      <w:start w:val="1"/>
      <w:numFmt w:val="bullet"/>
      <w:lvlText w:val=""/>
      <w:lvlJc w:val="left"/>
      <w:pPr>
        <w:ind w:left="720" w:hanging="360"/>
      </w:pPr>
      <w:rPr>
        <w:rFonts w:ascii="Symbol" w:hAnsi="Symbol" w:cs="Symbol"/>
        <w:color w:val="E36C0A"/>
        <w:sz w:val="24"/>
      </w:rPr>
    </w:lvl>
    <w:lvl w:ilvl="4" w:tplc="9DD2E6F0">
      <w:start w:val="1"/>
      <w:numFmt w:val="bullet"/>
      <w:lvlText w:val=""/>
      <w:lvlJc w:val="left"/>
      <w:pPr>
        <w:ind w:left="720" w:hanging="360"/>
      </w:pPr>
      <w:rPr>
        <w:rFonts w:ascii="Symbol" w:hAnsi="Symbol" w:cs="Symbol"/>
        <w:color w:val="E36C0A"/>
        <w:sz w:val="24"/>
      </w:rPr>
    </w:lvl>
    <w:lvl w:ilvl="5" w:tplc="4434E4F6">
      <w:start w:val="1"/>
      <w:numFmt w:val="bullet"/>
      <w:lvlText w:val=""/>
      <w:lvlJc w:val="left"/>
      <w:pPr>
        <w:ind w:left="720" w:hanging="360"/>
      </w:pPr>
      <w:rPr>
        <w:rFonts w:ascii="Symbol" w:hAnsi="Symbol" w:cs="Symbol"/>
        <w:color w:val="E36C0A"/>
        <w:sz w:val="24"/>
      </w:rPr>
    </w:lvl>
    <w:lvl w:ilvl="6" w:tplc="618CCE42">
      <w:start w:val="1"/>
      <w:numFmt w:val="bullet"/>
      <w:lvlText w:val=""/>
      <w:lvlJc w:val="left"/>
      <w:pPr>
        <w:ind w:left="720" w:hanging="360"/>
      </w:pPr>
      <w:rPr>
        <w:rFonts w:ascii="Symbol" w:hAnsi="Symbol" w:cs="Symbol"/>
        <w:color w:val="E36C0A"/>
        <w:sz w:val="24"/>
      </w:rPr>
    </w:lvl>
    <w:lvl w:ilvl="7" w:tplc="70247A42">
      <w:start w:val="1"/>
      <w:numFmt w:val="bullet"/>
      <w:lvlText w:val=""/>
      <w:lvlJc w:val="left"/>
      <w:pPr>
        <w:ind w:left="720" w:hanging="360"/>
      </w:pPr>
      <w:rPr>
        <w:rFonts w:ascii="Symbol" w:hAnsi="Symbol" w:cs="Symbol"/>
        <w:color w:val="E36C0A"/>
        <w:sz w:val="24"/>
      </w:rPr>
    </w:lvl>
    <w:lvl w:ilvl="8" w:tplc="C556F79A">
      <w:start w:val="1"/>
      <w:numFmt w:val="bullet"/>
      <w:lvlText w:val=""/>
      <w:lvlJc w:val="left"/>
      <w:pPr>
        <w:ind w:left="720" w:hanging="360"/>
      </w:pPr>
      <w:rPr>
        <w:rFonts w:ascii="Symbol" w:hAnsi="Symbol" w:cs="Symbol"/>
        <w:color w:val="E36C0A"/>
        <w:sz w:val="24"/>
      </w:rPr>
    </w:lvl>
  </w:abstractNum>
  <w:abstractNum w:abstractNumId="27" w15:restartNumberingAfterBreak="0">
    <w:nsid w:val="67591E92"/>
    <w:multiLevelType w:val="hybridMultilevel"/>
    <w:tmpl w:val="02D26D4E"/>
    <w:lvl w:ilvl="0" w:tplc="4A7247CC">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68FF3F00"/>
    <w:multiLevelType w:val="hybridMultilevel"/>
    <w:tmpl w:val="6938EB9E"/>
    <w:lvl w:ilvl="0" w:tplc="ED28B46E">
      <w:start w:val="1"/>
      <w:numFmt w:val="decimal"/>
      <w:lvlText w:val="%1."/>
      <w:lvlJc w:val="left"/>
      <w:pPr>
        <w:ind w:left="720" w:hanging="360"/>
      </w:pPr>
      <w:rPr>
        <w:rFonts w:asciiTheme="minorHAnsi" w:hAnsiTheme="minorHAnsi" w:hint="default"/>
        <w:sz w:val="20"/>
      </w:rPr>
    </w:lvl>
    <w:lvl w:ilvl="1" w:tplc="E7FADE5E">
      <w:start w:val="1"/>
      <w:numFmt w:val="lowerLetter"/>
      <w:lvlText w:val="%2."/>
      <w:lvlJc w:val="left"/>
      <w:pPr>
        <w:ind w:left="1080" w:hanging="360"/>
      </w:pPr>
      <w:rPr>
        <w:rFonts w:ascii="Arial" w:hAnsi="Arial" w:cs="Arial"/>
        <w:sz w:val="24"/>
      </w:rPr>
    </w:lvl>
    <w:lvl w:ilvl="2" w:tplc="72C67F98">
      <w:start w:val="1"/>
      <w:numFmt w:val="lowerRoman"/>
      <w:lvlText w:val="%3."/>
      <w:lvlJc w:val="left"/>
      <w:pPr>
        <w:ind w:left="1440" w:hanging="360"/>
      </w:pPr>
      <w:rPr>
        <w:rFonts w:ascii="Arial" w:hAnsi="Arial" w:cs="Arial"/>
        <w:sz w:val="24"/>
      </w:rPr>
    </w:lvl>
    <w:lvl w:ilvl="3" w:tplc="61DA5D2C">
      <w:start w:val="1"/>
      <w:numFmt w:val="decimal"/>
      <w:lvlText w:val="%4."/>
      <w:lvlJc w:val="left"/>
      <w:pPr>
        <w:ind w:left="1800" w:hanging="360"/>
      </w:pPr>
      <w:rPr>
        <w:rFonts w:ascii="Arial" w:hAnsi="Arial" w:cs="Arial"/>
        <w:sz w:val="24"/>
      </w:rPr>
    </w:lvl>
    <w:lvl w:ilvl="4" w:tplc="B7AA7CEA">
      <w:start w:val="1"/>
      <w:numFmt w:val="lowerLetter"/>
      <w:lvlText w:val="%5."/>
      <w:lvlJc w:val="left"/>
      <w:pPr>
        <w:ind w:left="2160" w:hanging="360"/>
      </w:pPr>
      <w:rPr>
        <w:rFonts w:ascii="Arial" w:hAnsi="Arial" w:cs="Arial"/>
        <w:sz w:val="24"/>
      </w:rPr>
    </w:lvl>
    <w:lvl w:ilvl="5" w:tplc="9F2AB934">
      <w:start w:val="1"/>
      <w:numFmt w:val="lowerRoman"/>
      <w:lvlText w:val="%6."/>
      <w:lvlJc w:val="left"/>
      <w:pPr>
        <w:ind w:left="2520" w:hanging="360"/>
      </w:pPr>
      <w:rPr>
        <w:rFonts w:ascii="Arial" w:hAnsi="Arial" w:cs="Arial"/>
        <w:sz w:val="24"/>
      </w:rPr>
    </w:lvl>
    <w:lvl w:ilvl="6" w:tplc="72FA50D6">
      <w:start w:val="1"/>
      <w:numFmt w:val="decimal"/>
      <w:lvlText w:val="%7."/>
      <w:lvlJc w:val="left"/>
      <w:pPr>
        <w:ind w:left="2880" w:hanging="360"/>
      </w:pPr>
      <w:rPr>
        <w:rFonts w:ascii="Arial" w:hAnsi="Arial" w:cs="Arial"/>
        <w:sz w:val="24"/>
      </w:rPr>
    </w:lvl>
    <w:lvl w:ilvl="7" w:tplc="BCC41DDA">
      <w:start w:val="1"/>
      <w:numFmt w:val="lowerLetter"/>
      <w:lvlText w:val="%8."/>
      <w:lvlJc w:val="left"/>
      <w:pPr>
        <w:ind w:left="3240" w:hanging="360"/>
      </w:pPr>
      <w:rPr>
        <w:rFonts w:ascii="Arial" w:hAnsi="Arial" w:cs="Arial"/>
        <w:sz w:val="24"/>
      </w:rPr>
    </w:lvl>
    <w:lvl w:ilvl="8" w:tplc="A16641EE">
      <w:start w:val="1"/>
      <w:numFmt w:val="lowerRoman"/>
      <w:lvlText w:val="%9."/>
      <w:lvlJc w:val="left"/>
      <w:pPr>
        <w:ind w:left="3600" w:hanging="360"/>
      </w:pPr>
      <w:rPr>
        <w:rFonts w:ascii="Arial" w:hAnsi="Arial" w:cs="Arial"/>
        <w:sz w:val="24"/>
      </w:rPr>
    </w:lvl>
  </w:abstractNum>
  <w:abstractNum w:abstractNumId="29" w15:restartNumberingAfterBreak="0">
    <w:nsid w:val="70A12921"/>
    <w:multiLevelType w:val="hybridMultilevel"/>
    <w:tmpl w:val="12B28D1A"/>
    <w:lvl w:ilvl="0" w:tplc="BDBEC96A">
      <w:start w:val="1"/>
      <w:numFmt w:val="bullet"/>
      <w:lvlText w:val=""/>
      <w:lvlJc w:val="left"/>
      <w:pPr>
        <w:ind w:left="720" w:hanging="360"/>
      </w:pPr>
      <w:rPr>
        <w:rFonts w:ascii="Symbol" w:hAnsi="Symbol" w:cs="Symbol"/>
        <w:color w:val="E36C0A"/>
        <w:sz w:val="24"/>
      </w:rPr>
    </w:lvl>
    <w:lvl w:ilvl="1" w:tplc="5A04A5AC">
      <w:start w:val="1"/>
      <w:numFmt w:val="bullet"/>
      <w:lvlText w:val=""/>
      <w:lvlJc w:val="left"/>
      <w:pPr>
        <w:ind w:left="720" w:hanging="360"/>
      </w:pPr>
      <w:rPr>
        <w:rFonts w:ascii="Symbol" w:hAnsi="Symbol" w:cs="Symbol"/>
        <w:color w:val="E36C0A"/>
        <w:sz w:val="24"/>
      </w:rPr>
    </w:lvl>
    <w:lvl w:ilvl="2" w:tplc="59569794">
      <w:start w:val="1"/>
      <w:numFmt w:val="bullet"/>
      <w:lvlText w:val=""/>
      <w:lvlJc w:val="left"/>
      <w:pPr>
        <w:ind w:left="720" w:hanging="360"/>
      </w:pPr>
      <w:rPr>
        <w:rFonts w:ascii="Symbol" w:hAnsi="Symbol" w:cs="Symbol"/>
        <w:color w:val="E36C0A"/>
        <w:sz w:val="24"/>
      </w:rPr>
    </w:lvl>
    <w:lvl w:ilvl="3" w:tplc="B288BAEA">
      <w:start w:val="1"/>
      <w:numFmt w:val="bullet"/>
      <w:lvlText w:val=""/>
      <w:lvlJc w:val="left"/>
      <w:pPr>
        <w:ind w:left="720" w:hanging="360"/>
      </w:pPr>
      <w:rPr>
        <w:rFonts w:ascii="Symbol" w:hAnsi="Symbol" w:cs="Symbol"/>
        <w:color w:val="E36C0A"/>
        <w:sz w:val="24"/>
      </w:rPr>
    </w:lvl>
    <w:lvl w:ilvl="4" w:tplc="27707728">
      <w:start w:val="1"/>
      <w:numFmt w:val="bullet"/>
      <w:lvlText w:val=""/>
      <w:lvlJc w:val="left"/>
      <w:pPr>
        <w:ind w:left="720" w:hanging="360"/>
      </w:pPr>
      <w:rPr>
        <w:rFonts w:ascii="Symbol" w:hAnsi="Symbol" w:cs="Symbol"/>
        <w:color w:val="E36C0A"/>
        <w:sz w:val="24"/>
      </w:rPr>
    </w:lvl>
    <w:lvl w:ilvl="5" w:tplc="D2D862DA">
      <w:start w:val="1"/>
      <w:numFmt w:val="bullet"/>
      <w:lvlText w:val=""/>
      <w:lvlJc w:val="left"/>
      <w:pPr>
        <w:ind w:left="720" w:hanging="360"/>
      </w:pPr>
      <w:rPr>
        <w:rFonts w:ascii="Symbol" w:hAnsi="Symbol" w:cs="Symbol"/>
        <w:color w:val="E36C0A"/>
        <w:sz w:val="24"/>
      </w:rPr>
    </w:lvl>
    <w:lvl w:ilvl="6" w:tplc="D914833A">
      <w:start w:val="1"/>
      <w:numFmt w:val="bullet"/>
      <w:lvlText w:val=""/>
      <w:lvlJc w:val="left"/>
      <w:pPr>
        <w:ind w:left="720" w:hanging="360"/>
      </w:pPr>
      <w:rPr>
        <w:rFonts w:ascii="Symbol" w:hAnsi="Symbol" w:cs="Symbol"/>
        <w:color w:val="E36C0A"/>
        <w:sz w:val="24"/>
      </w:rPr>
    </w:lvl>
    <w:lvl w:ilvl="7" w:tplc="BB402CD6">
      <w:start w:val="1"/>
      <w:numFmt w:val="bullet"/>
      <w:lvlText w:val=""/>
      <w:lvlJc w:val="left"/>
      <w:pPr>
        <w:ind w:left="720" w:hanging="360"/>
      </w:pPr>
      <w:rPr>
        <w:rFonts w:ascii="Symbol" w:hAnsi="Symbol" w:cs="Symbol"/>
        <w:color w:val="E36C0A"/>
        <w:sz w:val="24"/>
      </w:rPr>
    </w:lvl>
    <w:lvl w:ilvl="8" w:tplc="7D767904">
      <w:start w:val="1"/>
      <w:numFmt w:val="bullet"/>
      <w:lvlText w:val=""/>
      <w:lvlJc w:val="left"/>
      <w:pPr>
        <w:ind w:left="720" w:hanging="360"/>
      </w:pPr>
      <w:rPr>
        <w:rFonts w:ascii="Symbol" w:hAnsi="Symbol" w:cs="Symbol"/>
        <w:color w:val="E36C0A"/>
        <w:sz w:val="24"/>
      </w:rPr>
    </w:lvl>
  </w:abstractNum>
  <w:abstractNum w:abstractNumId="30" w15:restartNumberingAfterBreak="0">
    <w:nsid w:val="74F942A4"/>
    <w:multiLevelType w:val="hybridMultilevel"/>
    <w:tmpl w:val="B8D2F9D2"/>
    <w:lvl w:ilvl="0" w:tplc="81283BA6">
      <w:start w:val="1"/>
      <w:numFmt w:val="bullet"/>
      <w:lvlText w:val=""/>
      <w:lvlJc w:val="left"/>
      <w:pPr>
        <w:ind w:left="720" w:hanging="360"/>
      </w:pPr>
      <w:rPr>
        <w:rFonts w:ascii="Symbol" w:hAnsi="Symbol" w:cs="Symbol"/>
      </w:rPr>
    </w:lvl>
    <w:lvl w:ilvl="1" w:tplc="D3D08AC8">
      <w:start w:val="1"/>
      <w:numFmt w:val="bullet"/>
      <w:lvlText w:val="o"/>
      <w:lvlJc w:val="left"/>
      <w:pPr>
        <w:ind w:left="1440" w:hanging="360"/>
      </w:pPr>
      <w:rPr>
        <w:rFonts w:ascii="Courier New" w:hAnsi="Courier New" w:cs="Courier New"/>
      </w:rPr>
    </w:lvl>
    <w:lvl w:ilvl="2" w:tplc="C1A8FC7E">
      <w:start w:val="1"/>
      <w:numFmt w:val="bullet"/>
      <w:lvlText w:val=""/>
      <w:lvlJc w:val="left"/>
      <w:pPr>
        <w:ind w:left="2160" w:hanging="360"/>
      </w:pPr>
      <w:rPr>
        <w:rFonts w:ascii="Wingdings" w:hAnsi="Wingdings" w:cs="Wingdings"/>
      </w:rPr>
    </w:lvl>
    <w:lvl w:ilvl="3" w:tplc="F6E07A08">
      <w:start w:val="1"/>
      <w:numFmt w:val="bullet"/>
      <w:lvlText w:val=""/>
      <w:lvlJc w:val="left"/>
      <w:pPr>
        <w:ind w:left="2880" w:hanging="360"/>
      </w:pPr>
      <w:rPr>
        <w:rFonts w:ascii="Symbol" w:hAnsi="Symbol" w:cs="Symbol"/>
      </w:rPr>
    </w:lvl>
    <w:lvl w:ilvl="4" w:tplc="1046BCE4">
      <w:start w:val="1"/>
      <w:numFmt w:val="bullet"/>
      <w:lvlText w:val="o"/>
      <w:lvlJc w:val="left"/>
      <w:pPr>
        <w:ind w:left="3600" w:hanging="360"/>
      </w:pPr>
      <w:rPr>
        <w:rFonts w:ascii="Courier New" w:hAnsi="Courier New" w:cs="Courier New"/>
      </w:rPr>
    </w:lvl>
    <w:lvl w:ilvl="5" w:tplc="EB084176">
      <w:start w:val="1"/>
      <w:numFmt w:val="bullet"/>
      <w:lvlText w:val=""/>
      <w:lvlJc w:val="left"/>
      <w:pPr>
        <w:ind w:left="4320" w:hanging="360"/>
      </w:pPr>
      <w:rPr>
        <w:rFonts w:ascii="Wingdings" w:hAnsi="Wingdings" w:cs="Wingdings"/>
      </w:rPr>
    </w:lvl>
    <w:lvl w:ilvl="6" w:tplc="B7329FD2">
      <w:start w:val="1"/>
      <w:numFmt w:val="bullet"/>
      <w:lvlText w:val=""/>
      <w:lvlJc w:val="left"/>
      <w:pPr>
        <w:ind w:left="5040" w:hanging="360"/>
      </w:pPr>
      <w:rPr>
        <w:rFonts w:ascii="Symbol" w:hAnsi="Symbol" w:cs="Symbol"/>
      </w:rPr>
    </w:lvl>
    <w:lvl w:ilvl="7" w:tplc="DADA5C3E">
      <w:start w:val="1"/>
      <w:numFmt w:val="bullet"/>
      <w:lvlText w:val="o"/>
      <w:lvlJc w:val="left"/>
      <w:pPr>
        <w:ind w:left="5760" w:hanging="360"/>
      </w:pPr>
      <w:rPr>
        <w:rFonts w:ascii="Courier New" w:hAnsi="Courier New" w:cs="Courier New"/>
      </w:rPr>
    </w:lvl>
    <w:lvl w:ilvl="8" w:tplc="3A30CFD2">
      <w:start w:val="1"/>
      <w:numFmt w:val="bullet"/>
      <w:lvlText w:val=""/>
      <w:lvlJc w:val="left"/>
      <w:pPr>
        <w:ind w:left="6480" w:hanging="360"/>
      </w:pPr>
      <w:rPr>
        <w:rFonts w:ascii="Wingdings" w:hAnsi="Wingdings" w:cs="Wingdings"/>
      </w:rPr>
    </w:lvl>
  </w:abstractNum>
  <w:abstractNum w:abstractNumId="31" w15:restartNumberingAfterBreak="0">
    <w:nsid w:val="7C521A57"/>
    <w:multiLevelType w:val="hybridMultilevel"/>
    <w:tmpl w:val="565A0AF4"/>
    <w:lvl w:ilvl="0" w:tplc="AB8E17A0">
      <w:start w:val="1"/>
      <w:numFmt w:val="bullet"/>
      <w:lvlText w:val=""/>
      <w:lvlJc w:val="left"/>
      <w:pPr>
        <w:ind w:left="720" w:hanging="360"/>
      </w:pPr>
      <w:rPr>
        <w:rFonts w:ascii="Symbol" w:hAnsi="Symbol" w:cs="Symbol"/>
        <w:color w:val="E36C0A"/>
        <w:sz w:val="24"/>
      </w:rPr>
    </w:lvl>
    <w:lvl w:ilvl="1" w:tplc="A8C8AE7A">
      <w:start w:val="1"/>
      <w:numFmt w:val="bullet"/>
      <w:lvlText w:val=""/>
      <w:lvlJc w:val="left"/>
      <w:pPr>
        <w:ind w:left="720" w:hanging="360"/>
      </w:pPr>
      <w:rPr>
        <w:rFonts w:ascii="Symbol" w:hAnsi="Symbol" w:cs="Symbol"/>
        <w:color w:val="E36C0A"/>
        <w:sz w:val="24"/>
      </w:rPr>
    </w:lvl>
    <w:lvl w:ilvl="2" w:tplc="25EAE0F6">
      <w:start w:val="1"/>
      <w:numFmt w:val="bullet"/>
      <w:lvlText w:val=""/>
      <w:lvlJc w:val="left"/>
      <w:pPr>
        <w:ind w:left="720" w:hanging="360"/>
      </w:pPr>
      <w:rPr>
        <w:rFonts w:ascii="Symbol" w:hAnsi="Symbol" w:cs="Symbol"/>
        <w:color w:val="E36C0A"/>
        <w:sz w:val="24"/>
      </w:rPr>
    </w:lvl>
    <w:lvl w:ilvl="3" w:tplc="B944F6F4">
      <w:start w:val="1"/>
      <w:numFmt w:val="bullet"/>
      <w:lvlText w:val=""/>
      <w:lvlJc w:val="left"/>
      <w:pPr>
        <w:ind w:left="720" w:hanging="360"/>
      </w:pPr>
      <w:rPr>
        <w:rFonts w:ascii="Symbol" w:hAnsi="Symbol" w:cs="Symbol"/>
        <w:color w:val="E36C0A"/>
        <w:sz w:val="24"/>
      </w:rPr>
    </w:lvl>
    <w:lvl w:ilvl="4" w:tplc="730862F8">
      <w:start w:val="1"/>
      <w:numFmt w:val="bullet"/>
      <w:lvlText w:val=""/>
      <w:lvlJc w:val="left"/>
      <w:pPr>
        <w:ind w:left="720" w:hanging="360"/>
      </w:pPr>
      <w:rPr>
        <w:rFonts w:ascii="Symbol" w:hAnsi="Symbol" w:cs="Symbol"/>
        <w:color w:val="E36C0A"/>
        <w:sz w:val="24"/>
      </w:rPr>
    </w:lvl>
    <w:lvl w:ilvl="5" w:tplc="3EB2AE24">
      <w:start w:val="1"/>
      <w:numFmt w:val="bullet"/>
      <w:lvlText w:val=""/>
      <w:lvlJc w:val="left"/>
      <w:pPr>
        <w:ind w:left="720" w:hanging="360"/>
      </w:pPr>
      <w:rPr>
        <w:rFonts w:ascii="Symbol" w:hAnsi="Symbol" w:cs="Symbol"/>
        <w:color w:val="E36C0A"/>
        <w:sz w:val="24"/>
      </w:rPr>
    </w:lvl>
    <w:lvl w:ilvl="6" w:tplc="4FC6EF4A">
      <w:start w:val="1"/>
      <w:numFmt w:val="bullet"/>
      <w:lvlText w:val=""/>
      <w:lvlJc w:val="left"/>
      <w:pPr>
        <w:ind w:left="720" w:hanging="360"/>
      </w:pPr>
      <w:rPr>
        <w:rFonts w:ascii="Symbol" w:hAnsi="Symbol" w:cs="Symbol"/>
        <w:color w:val="E36C0A"/>
        <w:sz w:val="24"/>
      </w:rPr>
    </w:lvl>
    <w:lvl w:ilvl="7" w:tplc="8DA2ED5C">
      <w:start w:val="1"/>
      <w:numFmt w:val="bullet"/>
      <w:lvlText w:val=""/>
      <w:lvlJc w:val="left"/>
      <w:pPr>
        <w:ind w:left="720" w:hanging="360"/>
      </w:pPr>
      <w:rPr>
        <w:rFonts w:ascii="Symbol" w:hAnsi="Symbol" w:cs="Symbol"/>
        <w:color w:val="E36C0A"/>
        <w:sz w:val="24"/>
      </w:rPr>
    </w:lvl>
    <w:lvl w:ilvl="8" w:tplc="96EC85B8">
      <w:start w:val="1"/>
      <w:numFmt w:val="bullet"/>
      <w:lvlText w:val=""/>
      <w:lvlJc w:val="left"/>
      <w:pPr>
        <w:ind w:left="720" w:hanging="360"/>
      </w:pPr>
      <w:rPr>
        <w:rFonts w:ascii="Symbol" w:hAnsi="Symbol" w:cs="Symbol"/>
        <w:color w:val="E36C0A"/>
        <w:sz w:val="24"/>
      </w:rPr>
    </w:lvl>
  </w:abstractNum>
  <w:abstractNum w:abstractNumId="32" w15:restartNumberingAfterBreak="0">
    <w:nsid w:val="7D847AF5"/>
    <w:multiLevelType w:val="hybridMultilevel"/>
    <w:tmpl w:val="53124D3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
  </w:num>
  <w:num w:numId="2">
    <w:abstractNumId w:val="14"/>
  </w:num>
  <w:num w:numId="3">
    <w:abstractNumId w:val="27"/>
  </w:num>
  <w:num w:numId="4">
    <w:abstractNumId w:val="17"/>
  </w:num>
  <w:num w:numId="5">
    <w:abstractNumId w:val="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0"/>
  </w:num>
  <w:num w:numId="9">
    <w:abstractNumId w:val="18"/>
  </w:num>
  <w:num w:numId="10">
    <w:abstractNumId w:val="13"/>
  </w:num>
  <w:num w:numId="11">
    <w:abstractNumId w:val="29"/>
  </w:num>
  <w:num w:numId="12">
    <w:abstractNumId w:val="31"/>
  </w:num>
  <w:num w:numId="13">
    <w:abstractNumId w:val="15"/>
  </w:num>
  <w:num w:numId="14">
    <w:abstractNumId w:val="4"/>
  </w:num>
  <w:num w:numId="15">
    <w:abstractNumId w:val="1"/>
  </w:num>
  <w:num w:numId="16">
    <w:abstractNumId w:val="28"/>
  </w:num>
  <w:num w:numId="17">
    <w:abstractNumId w:val="25"/>
  </w:num>
  <w:num w:numId="18">
    <w:abstractNumId w:val="23"/>
  </w:num>
  <w:num w:numId="19">
    <w:abstractNumId w:val="2"/>
  </w:num>
  <w:num w:numId="20">
    <w:abstractNumId w:val="2"/>
  </w:num>
  <w:num w:numId="21">
    <w:abstractNumId w:val="9"/>
  </w:num>
  <w:num w:numId="22">
    <w:abstractNumId w:val="22"/>
  </w:num>
  <w:num w:numId="23">
    <w:abstractNumId w:val="30"/>
  </w:num>
  <w:num w:numId="24">
    <w:abstractNumId w:val="5"/>
  </w:num>
  <w:num w:numId="25">
    <w:abstractNumId w:val="21"/>
  </w:num>
  <w:num w:numId="26">
    <w:abstractNumId w:val="26"/>
  </w:num>
  <w:num w:numId="27">
    <w:abstractNumId w:val="11"/>
  </w:num>
  <w:num w:numId="28">
    <w:abstractNumId w:val="19"/>
  </w:num>
  <w:num w:numId="29">
    <w:abstractNumId w:val="10"/>
  </w:num>
  <w:num w:numId="30">
    <w:abstractNumId w:val="6"/>
  </w:num>
  <w:num w:numId="31">
    <w:abstractNumId w:val="3"/>
  </w:num>
  <w:num w:numId="32">
    <w:abstractNumId w:val="12"/>
  </w:num>
  <w:num w:numId="33">
    <w:abstractNumId w:val="20"/>
  </w:num>
  <w:num w:numId="34">
    <w:abstractNumId w:val="7"/>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A1"/>
    <w:rsid w:val="00000479"/>
    <w:rsid w:val="00004122"/>
    <w:rsid w:val="000135AD"/>
    <w:rsid w:val="0001409E"/>
    <w:rsid w:val="00025C5E"/>
    <w:rsid w:val="00025CBC"/>
    <w:rsid w:val="00027AF3"/>
    <w:rsid w:val="00034A8F"/>
    <w:rsid w:val="000373B6"/>
    <w:rsid w:val="000378BB"/>
    <w:rsid w:val="00041194"/>
    <w:rsid w:val="00043541"/>
    <w:rsid w:val="000458CC"/>
    <w:rsid w:val="00047649"/>
    <w:rsid w:val="000501BD"/>
    <w:rsid w:val="000502F5"/>
    <w:rsid w:val="000527B8"/>
    <w:rsid w:val="00052AEE"/>
    <w:rsid w:val="00072A2A"/>
    <w:rsid w:val="0007478E"/>
    <w:rsid w:val="0008037C"/>
    <w:rsid w:val="000824B9"/>
    <w:rsid w:val="000A32F7"/>
    <w:rsid w:val="000A376B"/>
    <w:rsid w:val="000B0314"/>
    <w:rsid w:val="000B3B0B"/>
    <w:rsid w:val="000E3D40"/>
    <w:rsid w:val="000F4274"/>
    <w:rsid w:val="000F711D"/>
    <w:rsid w:val="00113AB5"/>
    <w:rsid w:val="00125D51"/>
    <w:rsid w:val="0015163F"/>
    <w:rsid w:val="0015265A"/>
    <w:rsid w:val="00157330"/>
    <w:rsid w:val="00166A21"/>
    <w:rsid w:val="0017175D"/>
    <w:rsid w:val="001828CE"/>
    <w:rsid w:val="001854B6"/>
    <w:rsid w:val="00195889"/>
    <w:rsid w:val="001A4716"/>
    <w:rsid w:val="001A6A5B"/>
    <w:rsid w:val="001B1173"/>
    <w:rsid w:val="001D7217"/>
    <w:rsid w:val="002048E5"/>
    <w:rsid w:val="00212787"/>
    <w:rsid w:val="0021411D"/>
    <w:rsid w:val="0021454E"/>
    <w:rsid w:val="002164FF"/>
    <w:rsid w:val="00222BF7"/>
    <w:rsid w:val="00226F75"/>
    <w:rsid w:val="00230A60"/>
    <w:rsid w:val="002359B0"/>
    <w:rsid w:val="00237655"/>
    <w:rsid w:val="00250E30"/>
    <w:rsid w:val="00270A2F"/>
    <w:rsid w:val="00270D67"/>
    <w:rsid w:val="002761CA"/>
    <w:rsid w:val="002766B4"/>
    <w:rsid w:val="00296346"/>
    <w:rsid w:val="00296FC3"/>
    <w:rsid w:val="002B02C5"/>
    <w:rsid w:val="002B0F92"/>
    <w:rsid w:val="002C152D"/>
    <w:rsid w:val="002C6DBE"/>
    <w:rsid w:val="002E02D2"/>
    <w:rsid w:val="00314762"/>
    <w:rsid w:val="00316421"/>
    <w:rsid w:val="00316C56"/>
    <w:rsid w:val="00323BDB"/>
    <w:rsid w:val="003336F4"/>
    <w:rsid w:val="00340257"/>
    <w:rsid w:val="00343D81"/>
    <w:rsid w:val="00344D06"/>
    <w:rsid w:val="00351898"/>
    <w:rsid w:val="003873DF"/>
    <w:rsid w:val="003A5C16"/>
    <w:rsid w:val="003B3D26"/>
    <w:rsid w:val="003C4C56"/>
    <w:rsid w:val="003C70D5"/>
    <w:rsid w:val="003D0616"/>
    <w:rsid w:val="003D0FE9"/>
    <w:rsid w:val="003E32F0"/>
    <w:rsid w:val="003F6775"/>
    <w:rsid w:val="00402C22"/>
    <w:rsid w:val="00405BDF"/>
    <w:rsid w:val="00411CB5"/>
    <w:rsid w:val="00420C72"/>
    <w:rsid w:val="00424EFA"/>
    <w:rsid w:val="0043023C"/>
    <w:rsid w:val="004509EB"/>
    <w:rsid w:val="00450B4E"/>
    <w:rsid w:val="00452508"/>
    <w:rsid w:val="00463D2C"/>
    <w:rsid w:val="00464210"/>
    <w:rsid w:val="00476E9D"/>
    <w:rsid w:val="00480F52"/>
    <w:rsid w:val="00485A42"/>
    <w:rsid w:val="00490902"/>
    <w:rsid w:val="00493790"/>
    <w:rsid w:val="004B303B"/>
    <w:rsid w:val="004C75C3"/>
    <w:rsid w:val="004C7D2E"/>
    <w:rsid w:val="004C7DCA"/>
    <w:rsid w:val="00502B9E"/>
    <w:rsid w:val="005033AD"/>
    <w:rsid w:val="005034C5"/>
    <w:rsid w:val="00510382"/>
    <w:rsid w:val="00531489"/>
    <w:rsid w:val="005367C3"/>
    <w:rsid w:val="00551286"/>
    <w:rsid w:val="005533C1"/>
    <w:rsid w:val="00566CE0"/>
    <w:rsid w:val="00573AC3"/>
    <w:rsid w:val="00574B1D"/>
    <w:rsid w:val="005868F1"/>
    <w:rsid w:val="005A258F"/>
    <w:rsid w:val="005A342F"/>
    <w:rsid w:val="005A35A1"/>
    <w:rsid w:val="005A7302"/>
    <w:rsid w:val="005B5D4E"/>
    <w:rsid w:val="005B6817"/>
    <w:rsid w:val="005B7BA6"/>
    <w:rsid w:val="005C2835"/>
    <w:rsid w:val="005C5F34"/>
    <w:rsid w:val="005E0721"/>
    <w:rsid w:val="005F08B7"/>
    <w:rsid w:val="005F2F02"/>
    <w:rsid w:val="005F3BEE"/>
    <w:rsid w:val="005F5F3E"/>
    <w:rsid w:val="005F709D"/>
    <w:rsid w:val="006142EE"/>
    <w:rsid w:val="00625D64"/>
    <w:rsid w:val="00631733"/>
    <w:rsid w:val="00645349"/>
    <w:rsid w:val="0066779B"/>
    <w:rsid w:val="006719BD"/>
    <w:rsid w:val="00671AD7"/>
    <w:rsid w:val="006808E9"/>
    <w:rsid w:val="00680B17"/>
    <w:rsid w:val="00683C90"/>
    <w:rsid w:val="00693390"/>
    <w:rsid w:val="006A133A"/>
    <w:rsid w:val="006B0B15"/>
    <w:rsid w:val="006D1AD6"/>
    <w:rsid w:val="006D7403"/>
    <w:rsid w:val="006E51CB"/>
    <w:rsid w:val="006E7279"/>
    <w:rsid w:val="006F1E3E"/>
    <w:rsid w:val="006F642B"/>
    <w:rsid w:val="007019E1"/>
    <w:rsid w:val="00707C68"/>
    <w:rsid w:val="00712DB3"/>
    <w:rsid w:val="007137FD"/>
    <w:rsid w:val="0074302D"/>
    <w:rsid w:val="00752AE2"/>
    <w:rsid w:val="00753E72"/>
    <w:rsid w:val="00765D8B"/>
    <w:rsid w:val="00767998"/>
    <w:rsid w:val="0078085B"/>
    <w:rsid w:val="00781C04"/>
    <w:rsid w:val="007927AC"/>
    <w:rsid w:val="00795CF5"/>
    <w:rsid w:val="00796E3F"/>
    <w:rsid w:val="00797F6D"/>
    <w:rsid w:val="007A4E2C"/>
    <w:rsid w:val="007A59CC"/>
    <w:rsid w:val="007A6503"/>
    <w:rsid w:val="007C0315"/>
    <w:rsid w:val="007C3FEE"/>
    <w:rsid w:val="007E306F"/>
    <w:rsid w:val="007F0D99"/>
    <w:rsid w:val="00801E94"/>
    <w:rsid w:val="00805EE7"/>
    <w:rsid w:val="00810843"/>
    <w:rsid w:val="008121EC"/>
    <w:rsid w:val="00815787"/>
    <w:rsid w:val="008261C2"/>
    <w:rsid w:val="008355F6"/>
    <w:rsid w:val="008359BB"/>
    <w:rsid w:val="0084162E"/>
    <w:rsid w:val="00841993"/>
    <w:rsid w:val="008420BA"/>
    <w:rsid w:val="0084325D"/>
    <w:rsid w:val="008729FB"/>
    <w:rsid w:val="00872DB3"/>
    <w:rsid w:val="008772D9"/>
    <w:rsid w:val="008928F2"/>
    <w:rsid w:val="008A7824"/>
    <w:rsid w:val="008B22DE"/>
    <w:rsid w:val="008C0089"/>
    <w:rsid w:val="008D51CE"/>
    <w:rsid w:val="008D73A4"/>
    <w:rsid w:val="008E2936"/>
    <w:rsid w:val="008E6BB5"/>
    <w:rsid w:val="009225BB"/>
    <w:rsid w:val="00924C9B"/>
    <w:rsid w:val="00924CE8"/>
    <w:rsid w:val="009264A3"/>
    <w:rsid w:val="00936F84"/>
    <w:rsid w:val="0094371F"/>
    <w:rsid w:val="009447CD"/>
    <w:rsid w:val="00951499"/>
    <w:rsid w:val="009536AC"/>
    <w:rsid w:val="00956152"/>
    <w:rsid w:val="00967BA5"/>
    <w:rsid w:val="00992147"/>
    <w:rsid w:val="0099300B"/>
    <w:rsid w:val="00994A8F"/>
    <w:rsid w:val="00996B28"/>
    <w:rsid w:val="009970BE"/>
    <w:rsid w:val="00997BCE"/>
    <w:rsid w:val="009B2E56"/>
    <w:rsid w:val="009B47A1"/>
    <w:rsid w:val="009B6C33"/>
    <w:rsid w:val="009C2DC5"/>
    <w:rsid w:val="009D62B5"/>
    <w:rsid w:val="009E40B4"/>
    <w:rsid w:val="00A03A02"/>
    <w:rsid w:val="00A078B2"/>
    <w:rsid w:val="00A61DA9"/>
    <w:rsid w:val="00A762F0"/>
    <w:rsid w:val="00A83173"/>
    <w:rsid w:val="00A967BF"/>
    <w:rsid w:val="00AB2C8B"/>
    <w:rsid w:val="00AB706B"/>
    <w:rsid w:val="00AB74E1"/>
    <w:rsid w:val="00AC3CB4"/>
    <w:rsid w:val="00AC6096"/>
    <w:rsid w:val="00AD2F59"/>
    <w:rsid w:val="00AD333D"/>
    <w:rsid w:val="00AE5FAA"/>
    <w:rsid w:val="00AF53DE"/>
    <w:rsid w:val="00AF763D"/>
    <w:rsid w:val="00B04990"/>
    <w:rsid w:val="00B13BC1"/>
    <w:rsid w:val="00B257B7"/>
    <w:rsid w:val="00B403AF"/>
    <w:rsid w:val="00B70062"/>
    <w:rsid w:val="00B745C9"/>
    <w:rsid w:val="00B93448"/>
    <w:rsid w:val="00BA15CE"/>
    <w:rsid w:val="00BA2B05"/>
    <w:rsid w:val="00BB77FB"/>
    <w:rsid w:val="00BC2E59"/>
    <w:rsid w:val="00BD5DCE"/>
    <w:rsid w:val="00BD6E31"/>
    <w:rsid w:val="00BE45D8"/>
    <w:rsid w:val="00BE61A8"/>
    <w:rsid w:val="00BF7D04"/>
    <w:rsid w:val="00C00186"/>
    <w:rsid w:val="00C06F5A"/>
    <w:rsid w:val="00C1470B"/>
    <w:rsid w:val="00C204DA"/>
    <w:rsid w:val="00C50F3D"/>
    <w:rsid w:val="00C510E3"/>
    <w:rsid w:val="00C53B93"/>
    <w:rsid w:val="00C617E7"/>
    <w:rsid w:val="00C633D4"/>
    <w:rsid w:val="00C70BE2"/>
    <w:rsid w:val="00C87AB5"/>
    <w:rsid w:val="00CA7211"/>
    <w:rsid w:val="00CB028A"/>
    <w:rsid w:val="00CB297D"/>
    <w:rsid w:val="00CC1B33"/>
    <w:rsid w:val="00CD51CA"/>
    <w:rsid w:val="00CE4AA1"/>
    <w:rsid w:val="00CF4BE5"/>
    <w:rsid w:val="00CF5428"/>
    <w:rsid w:val="00CF5E7D"/>
    <w:rsid w:val="00D006EF"/>
    <w:rsid w:val="00D013E0"/>
    <w:rsid w:val="00D04631"/>
    <w:rsid w:val="00D113D6"/>
    <w:rsid w:val="00D1430D"/>
    <w:rsid w:val="00D17D6D"/>
    <w:rsid w:val="00D22A1C"/>
    <w:rsid w:val="00D4180B"/>
    <w:rsid w:val="00D525D6"/>
    <w:rsid w:val="00D53E04"/>
    <w:rsid w:val="00D55C85"/>
    <w:rsid w:val="00D73016"/>
    <w:rsid w:val="00D741A5"/>
    <w:rsid w:val="00D76834"/>
    <w:rsid w:val="00D769FB"/>
    <w:rsid w:val="00D8027C"/>
    <w:rsid w:val="00D94B4B"/>
    <w:rsid w:val="00D95B19"/>
    <w:rsid w:val="00DB2BF6"/>
    <w:rsid w:val="00DC5521"/>
    <w:rsid w:val="00DD64CD"/>
    <w:rsid w:val="00DD686C"/>
    <w:rsid w:val="00DE1F46"/>
    <w:rsid w:val="00DE571F"/>
    <w:rsid w:val="00DE6656"/>
    <w:rsid w:val="00DE73A4"/>
    <w:rsid w:val="00DF43F1"/>
    <w:rsid w:val="00E07D71"/>
    <w:rsid w:val="00E151C9"/>
    <w:rsid w:val="00E33CCF"/>
    <w:rsid w:val="00E46511"/>
    <w:rsid w:val="00E53C91"/>
    <w:rsid w:val="00E6029A"/>
    <w:rsid w:val="00E60A98"/>
    <w:rsid w:val="00E635EF"/>
    <w:rsid w:val="00E74E5F"/>
    <w:rsid w:val="00E75ED5"/>
    <w:rsid w:val="00E85BE3"/>
    <w:rsid w:val="00E918CC"/>
    <w:rsid w:val="00EA3BDF"/>
    <w:rsid w:val="00EA6621"/>
    <w:rsid w:val="00EB1EA1"/>
    <w:rsid w:val="00ED15D4"/>
    <w:rsid w:val="00ED196A"/>
    <w:rsid w:val="00EE3AED"/>
    <w:rsid w:val="00EE5523"/>
    <w:rsid w:val="00F01C0D"/>
    <w:rsid w:val="00F0458A"/>
    <w:rsid w:val="00F161F7"/>
    <w:rsid w:val="00F24DEF"/>
    <w:rsid w:val="00F36298"/>
    <w:rsid w:val="00F369B8"/>
    <w:rsid w:val="00F43C69"/>
    <w:rsid w:val="00F46053"/>
    <w:rsid w:val="00F6697C"/>
    <w:rsid w:val="00F94C83"/>
    <w:rsid w:val="00FA4FEF"/>
    <w:rsid w:val="00FB2D6F"/>
    <w:rsid w:val="00FB50A1"/>
    <w:rsid w:val="00FB67D8"/>
    <w:rsid w:val="00FC2076"/>
    <w:rsid w:val="00FC4CEA"/>
    <w:rsid w:val="00FD2813"/>
    <w:rsid w:val="00FE5CAB"/>
    <w:rsid w:val="00FE6BC9"/>
    <w:rsid w:val="00FF3E50"/>
    <w:rsid w:val="00FF63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6B9A-493F-4A33-AE8F-72B70B1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01C0D"/>
    <w:pPr>
      <w:keepNext/>
      <w:keepLines/>
      <w:numPr>
        <w:numId w:val="1"/>
      </w:numPr>
      <w:spacing w:before="240"/>
      <w:ind w:left="431" w:hanging="431"/>
      <w:outlineLvl w:val="0"/>
    </w:pPr>
    <w:rPr>
      <w:rFonts w:eastAsiaTheme="majorEastAsia" w:cstheme="majorBidi"/>
      <w:b/>
      <w:bCs/>
      <w:color w:val="365F91" w:themeColor="accent1" w:themeShade="BF"/>
      <w:sz w:val="26"/>
      <w:szCs w:val="28"/>
    </w:rPr>
  </w:style>
  <w:style w:type="paragraph" w:styleId="berschrift2">
    <w:name w:val="heading 2"/>
    <w:basedOn w:val="Standard"/>
    <w:next w:val="Standard"/>
    <w:link w:val="berschrift2Zchn"/>
    <w:uiPriority w:val="9"/>
    <w:unhideWhenUsed/>
    <w:qFormat/>
    <w:rsid w:val="00450B4E"/>
    <w:pPr>
      <w:keepNext/>
      <w:keepLines/>
      <w:numPr>
        <w:ilvl w:val="1"/>
        <w:numId w:val="1"/>
      </w:numPr>
      <w:spacing w:before="200"/>
      <w:ind w:left="576"/>
      <w:outlineLvl w:val="1"/>
    </w:pPr>
    <w:rPr>
      <w:rFonts w:eastAsiaTheme="majorEastAsia" w:cstheme="majorBidi"/>
      <w:b/>
      <w:bCs/>
      <w:color w:val="4F81BD" w:themeColor="accent1"/>
      <w:szCs w:val="26"/>
    </w:rPr>
  </w:style>
  <w:style w:type="paragraph" w:styleId="berschrift3">
    <w:name w:val="heading 3"/>
    <w:basedOn w:val="Standard"/>
    <w:next w:val="Standard"/>
    <w:link w:val="berschrift3Zchn"/>
    <w:uiPriority w:val="9"/>
    <w:unhideWhenUsed/>
    <w:qFormat/>
    <w:rsid w:val="00450B4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7019E1"/>
    <w:pPr>
      <w:keepNext/>
      <w:numPr>
        <w:ilvl w:val="3"/>
        <w:numId w:val="1"/>
      </w:numPr>
      <w:spacing w:before="240" w:after="60" w:line="240" w:lineRule="auto"/>
      <w:outlineLvl w:val="3"/>
    </w:pPr>
    <w:rPr>
      <w:rFonts w:ascii="Times New Roman" w:hAnsi="Times New Roman" w:cs="Times New Roman"/>
      <w:b/>
      <w:bCs/>
      <w:sz w:val="28"/>
      <w:szCs w:val="28"/>
      <w:lang w:eastAsia="en-US"/>
    </w:rPr>
  </w:style>
  <w:style w:type="paragraph" w:styleId="berschrift5">
    <w:name w:val="heading 5"/>
    <w:basedOn w:val="Standard"/>
    <w:next w:val="Standard"/>
    <w:link w:val="berschrift5Zchn"/>
    <w:uiPriority w:val="9"/>
    <w:semiHidden/>
    <w:unhideWhenUsed/>
    <w:qFormat/>
    <w:rsid w:val="00450B4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50B4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50B4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50B4E"/>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450B4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table" w:styleId="Tabellenraster">
    <w:name w:val="Table Grid"/>
    <w:basedOn w:val="TableNormal"/>
    <w:uiPriority w:val="59"/>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Listenabsatz">
    <w:name w:val="List Paragraph"/>
    <w:basedOn w:val="Standard"/>
    <w:uiPriority w:val="34"/>
    <w:qFormat/>
    <w:pPr>
      <w:ind w:left="720"/>
    </w:pPr>
    <w:rPr>
      <w:rFonts w:ascii="Verdana" w:hAnsi="Verdana" w:cs="Verdana"/>
    </w:rPr>
  </w:style>
  <w:style w:type="character" w:customStyle="1" w:styleId="berschrift4Zchn">
    <w:name w:val="Überschrift 4 Zchn"/>
    <w:basedOn w:val="Absatz-Standardschriftart"/>
    <w:link w:val="berschrift4"/>
    <w:semiHidden/>
    <w:rsid w:val="007019E1"/>
    <w:rPr>
      <w:rFonts w:ascii="Times New Roman" w:hAnsi="Times New Roman" w:cs="Times New Roman"/>
      <w:b/>
      <w:bCs/>
      <w:sz w:val="28"/>
      <w:szCs w:val="28"/>
      <w:lang w:eastAsia="en-US"/>
    </w:rPr>
  </w:style>
  <w:style w:type="paragraph" w:customStyle="1" w:styleId="KeinLeerraum1">
    <w:name w:val="Kein Leerraum1"/>
    <w:rsid w:val="007019E1"/>
    <w:pPr>
      <w:spacing w:line="240" w:lineRule="auto"/>
    </w:pPr>
    <w:rPr>
      <w:rFonts w:ascii="Calibri" w:hAnsi="Calibri" w:cs="Times New Roman"/>
      <w:szCs w:val="22"/>
      <w:lang w:eastAsia="en-US"/>
    </w:rPr>
  </w:style>
  <w:style w:type="paragraph" w:styleId="Sprechblasentext">
    <w:name w:val="Balloon Text"/>
    <w:basedOn w:val="Standard"/>
    <w:link w:val="SprechblasentextZchn"/>
    <w:uiPriority w:val="99"/>
    <w:semiHidden/>
    <w:unhideWhenUsed/>
    <w:rsid w:val="007019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9E1"/>
    <w:rPr>
      <w:rFonts w:ascii="Tahoma" w:hAnsi="Tahoma" w:cs="Tahoma"/>
      <w:sz w:val="16"/>
      <w:szCs w:val="16"/>
    </w:rPr>
  </w:style>
  <w:style w:type="paragraph" w:customStyle="1" w:styleId="TextTabellenbeschriftunggro">
    <w:name w:val="Text Tabellenbeschriftung groß"/>
    <w:basedOn w:val="Standard"/>
    <w:qFormat/>
    <w:rsid w:val="00A762F0"/>
    <w:pPr>
      <w:spacing w:line="240" w:lineRule="auto"/>
      <w:ind w:right="-105"/>
      <w:jc w:val="center"/>
    </w:pPr>
    <w:rPr>
      <w:rFonts w:eastAsiaTheme="minorHAnsi" w:cstheme="minorBidi"/>
      <w:color w:val="B4005E"/>
      <w:sz w:val="18"/>
      <w:szCs w:val="18"/>
      <w:lang w:eastAsia="en-US"/>
    </w:rPr>
  </w:style>
  <w:style w:type="paragraph" w:customStyle="1" w:styleId="ZahleninTabelle">
    <w:name w:val="Zahlen in Tabelle"/>
    <w:basedOn w:val="Standard"/>
    <w:qFormat/>
    <w:rsid w:val="00A762F0"/>
    <w:pPr>
      <w:spacing w:line="240" w:lineRule="auto"/>
      <w:ind w:right="70"/>
      <w:jc w:val="center"/>
    </w:pPr>
    <w:rPr>
      <w:rFonts w:eastAsiaTheme="minorHAnsi" w:cstheme="minorBidi"/>
      <w:szCs w:val="22"/>
      <w:lang w:eastAsia="en-US"/>
    </w:rPr>
  </w:style>
  <w:style w:type="paragraph" w:customStyle="1" w:styleId="QuelleZusatztext">
    <w:name w:val="Quelle / * / Zusatztext"/>
    <w:basedOn w:val="Standard"/>
    <w:qFormat/>
    <w:rsid w:val="00A762F0"/>
    <w:pPr>
      <w:spacing w:line="240" w:lineRule="auto"/>
    </w:pPr>
    <w:rPr>
      <w:rFonts w:eastAsiaTheme="minorHAnsi" w:cstheme="minorBidi"/>
      <w:sz w:val="18"/>
      <w:szCs w:val="18"/>
      <w:lang w:eastAsia="en-US"/>
    </w:rPr>
  </w:style>
  <w:style w:type="paragraph" w:customStyle="1" w:styleId="Flietext">
    <w:name w:val="FlieÃŸtext"/>
    <w:basedOn w:val="Standard"/>
    <w:qFormat/>
    <w:rsid w:val="00CC1B33"/>
    <w:pPr>
      <w:jc w:val="both"/>
    </w:pPr>
    <w:rPr>
      <w:sz w:val="20"/>
    </w:rPr>
  </w:style>
  <w:style w:type="paragraph" w:customStyle="1" w:styleId="Unterberschrift1">
    <w:name w:val="UnterÃ¼berschrift 1"/>
    <w:basedOn w:val="Standard"/>
    <w:qFormat/>
    <w:rsid w:val="00CC1B33"/>
    <w:rPr>
      <w:b/>
      <w:color w:val="E36C0A"/>
      <w:sz w:val="28"/>
    </w:rPr>
  </w:style>
  <w:style w:type="paragraph" w:styleId="Textkrper-Einzug3">
    <w:name w:val="Body Text Indent 3"/>
    <w:basedOn w:val="Standard"/>
    <w:link w:val="Textkrper-Einzug3Zchn"/>
    <w:rsid w:val="00CC1B33"/>
    <w:pPr>
      <w:spacing w:after="120"/>
      <w:ind w:left="283"/>
    </w:pPr>
    <w:rPr>
      <w:rFonts w:ascii="Verdana" w:hAnsi="Verdana" w:cs="Verdana"/>
      <w:sz w:val="16"/>
    </w:rPr>
  </w:style>
  <w:style w:type="character" w:customStyle="1" w:styleId="Textkrper-Einzug3Zchn">
    <w:name w:val="Textkörper-Einzug 3 Zchn"/>
    <w:basedOn w:val="Absatz-Standardschriftart"/>
    <w:link w:val="Textkrper-Einzug3"/>
    <w:rsid w:val="00CC1B33"/>
    <w:rPr>
      <w:rFonts w:ascii="Verdana" w:hAnsi="Verdana" w:cs="Verdana"/>
      <w:sz w:val="16"/>
    </w:rPr>
  </w:style>
  <w:style w:type="paragraph" w:styleId="Funotentext">
    <w:name w:val="footnote text"/>
    <w:basedOn w:val="Standard"/>
    <w:link w:val="FunotentextZchn"/>
    <w:uiPriority w:val="99"/>
    <w:semiHidden/>
    <w:unhideWhenUsed/>
    <w:rsid w:val="003336F4"/>
    <w:pPr>
      <w:spacing w:line="240" w:lineRule="auto"/>
    </w:pPr>
    <w:rPr>
      <w:sz w:val="20"/>
    </w:rPr>
  </w:style>
  <w:style w:type="character" w:customStyle="1" w:styleId="FunotentextZchn">
    <w:name w:val="Fußnotentext Zchn"/>
    <w:basedOn w:val="Absatz-Standardschriftart"/>
    <w:link w:val="Funotentext"/>
    <w:uiPriority w:val="99"/>
    <w:semiHidden/>
    <w:rsid w:val="003336F4"/>
    <w:rPr>
      <w:sz w:val="20"/>
    </w:rPr>
  </w:style>
  <w:style w:type="character" w:styleId="Funotenzeichen">
    <w:name w:val="footnote reference"/>
    <w:basedOn w:val="Absatz-Standardschriftart"/>
    <w:uiPriority w:val="99"/>
    <w:semiHidden/>
    <w:unhideWhenUsed/>
    <w:rsid w:val="003336F4"/>
    <w:rPr>
      <w:vertAlign w:val="superscript"/>
    </w:rPr>
  </w:style>
  <w:style w:type="paragraph" w:styleId="Endnotentext">
    <w:name w:val="endnote text"/>
    <w:basedOn w:val="Standard"/>
    <w:link w:val="EndnotentextZchn"/>
    <w:uiPriority w:val="99"/>
    <w:semiHidden/>
    <w:unhideWhenUsed/>
    <w:rsid w:val="003336F4"/>
    <w:pPr>
      <w:spacing w:line="240" w:lineRule="auto"/>
    </w:pPr>
    <w:rPr>
      <w:sz w:val="20"/>
    </w:rPr>
  </w:style>
  <w:style w:type="character" w:customStyle="1" w:styleId="EndnotentextZchn">
    <w:name w:val="Endnotentext Zchn"/>
    <w:basedOn w:val="Absatz-Standardschriftart"/>
    <w:link w:val="Endnotentext"/>
    <w:uiPriority w:val="99"/>
    <w:semiHidden/>
    <w:rsid w:val="003336F4"/>
    <w:rPr>
      <w:sz w:val="20"/>
    </w:rPr>
  </w:style>
  <w:style w:type="character" w:styleId="Endnotenzeichen">
    <w:name w:val="endnote reference"/>
    <w:basedOn w:val="Absatz-Standardschriftart"/>
    <w:uiPriority w:val="99"/>
    <w:semiHidden/>
    <w:unhideWhenUsed/>
    <w:rsid w:val="003336F4"/>
    <w:rPr>
      <w:vertAlign w:val="superscript"/>
    </w:rPr>
  </w:style>
  <w:style w:type="paragraph" w:styleId="Beschriftung">
    <w:name w:val="caption"/>
    <w:basedOn w:val="Standard"/>
    <w:next w:val="Standard"/>
    <w:uiPriority w:val="35"/>
    <w:unhideWhenUsed/>
    <w:qFormat/>
    <w:rsid w:val="00DC5521"/>
    <w:pPr>
      <w:spacing w:after="200" w:line="240" w:lineRule="auto"/>
    </w:pPr>
    <w:rPr>
      <w:b/>
      <w:bCs/>
      <w:color w:val="4F81BD" w:themeColor="accent1"/>
      <w:sz w:val="18"/>
      <w:szCs w:val="18"/>
    </w:rPr>
  </w:style>
  <w:style w:type="paragraph" w:styleId="Titel">
    <w:name w:val="Title"/>
    <w:basedOn w:val="Standard"/>
    <w:next w:val="Standard"/>
    <w:link w:val="TitelZchn"/>
    <w:uiPriority w:val="10"/>
    <w:qFormat/>
    <w:rsid w:val="00450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0B4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01C0D"/>
    <w:rPr>
      <w:rFonts w:eastAsiaTheme="majorEastAsia" w:cstheme="majorBidi"/>
      <w:b/>
      <w:bCs/>
      <w:color w:val="365F91" w:themeColor="accent1" w:themeShade="BF"/>
      <w:sz w:val="26"/>
      <w:szCs w:val="28"/>
    </w:rPr>
  </w:style>
  <w:style w:type="character" w:customStyle="1" w:styleId="berschrift2Zchn">
    <w:name w:val="Überschrift 2 Zchn"/>
    <w:basedOn w:val="Absatz-Standardschriftart"/>
    <w:link w:val="berschrift2"/>
    <w:uiPriority w:val="9"/>
    <w:rsid w:val="00450B4E"/>
    <w:rPr>
      <w:rFonts w:eastAsiaTheme="majorEastAsia" w:cstheme="majorBidi"/>
      <w:b/>
      <w:bCs/>
      <w:color w:val="4F81BD" w:themeColor="accent1"/>
      <w:szCs w:val="26"/>
    </w:rPr>
  </w:style>
  <w:style w:type="character" w:customStyle="1" w:styleId="berschrift3Zchn">
    <w:name w:val="Überschrift 3 Zchn"/>
    <w:basedOn w:val="Absatz-Standardschriftart"/>
    <w:link w:val="berschrift3"/>
    <w:uiPriority w:val="9"/>
    <w:rsid w:val="00450B4E"/>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450B4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50B4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50B4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50B4E"/>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
    <w:semiHidden/>
    <w:rsid w:val="00450B4E"/>
    <w:rPr>
      <w:rFonts w:asciiTheme="majorHAnsi" w:eastAsiaTheme="majorEastAsia" w:hAnsiTheme="majorHAnsi" w:cstheme="majorBidi"/>
      <w:i/>
      <w:iCs/>
      <w:color w:val="404040" w:themeColor="text1" w:themeTint="BF"/>
      <w:sz w:val="20"/>
    </w:rPr>
  </w:style>
  <w:style w:type="paragraph" w:styleId="Kopfzeile">
    <w:name w:val="header"/>
    <w:basedOn w:val="Standard"/>
    <w:link w:val="KopfzeileZchn"/>
    <w:uiPriority w:val="99"/>
    <w:unhideWhenUsed/>
    <w:rsid w:val="008C0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0089"/>
  </w:style>
  <w:style w:type="paragraph" w:styleId="Fuzeile">
    <w:name w:val="footer"/>
    <w:basedOn w:val="Standard"/>
    <w:link w:val="FuzeileZchn"/>
    <w:unhideWhenUsed/>
    <w:rsid w:val="008C0089"/>
    <w:pPr>
      <w:tabs>
        <w:tab w:val="center" w:pos="4536"/>
        <w:tab w:val="right" w:pos="9072"/>
      </w:tabs>
      <w:spacing w:line="240" w:lineRule="auto"/>
    </w:pPr>
  </w:style>
  <w:style w:type="character" w:customStyle="1" w:styleId="FuzeileZchn">
    <w:name w:val="Fußzeile Zchn"/>
    <w:basedOn w:val="Absatz-Standardschriftart"/>
    <w:link w:val="Fuzeile"/>
    <w:rsid w:val="008C0089"/>
  </w:style>
  <w:style w:type="paragraph" w:styleId="Textkrper">
    <w:name w:val="Body Text"/>
    <w:basedOn w:val="Standard"/>
    <w:link w:val="TextkrperZchn"/>
    <w:uiPriority w:val="1"/>
    <w:unhideWhenUsed/>
    <w:qFormat/>
    <w:rsid w:val="00C617E7"/>
    <w:pPr>
      <w:spacing w:after="120"/>
    </w:pPr>
  </w:style>
  <w:style w:type="character" w:customStyle="1" w:styleId="TextkrperZchn">
    <w:name w:val="Textkörper Zchn"/>
    <w:basedOn w:val="Absatz-Standardschriftart"/>
    <w:link w:val="Textkrper"/>
    <w:uiPriority w:val="1"/>
    <w:rsid w:val="00C617E7"/>
  </w:style>
  <w:style w:type="paragraph" w:customStyle="1" w:styleId="Flietext0">
    <w:name w:val="FlieÃƒÅ¸text"/>
    <w:basedOn w:val="Standard"/>
    <w:qFormat/>
    <w:rsid w:val="006719BD"/>
    <w:pPr>
      <w:spacing w:before="100" w:after="100" w:line="240" w:lineRule="auto"/>
      <w:jc w:val="both"/>
    </w:pPr>
    <w:rPr>
      <w:rFonts w:ascii="Verdana" w:hAnsi="Verdana" w:cs="Verdana"/>
      <w:sz w:val="20"/>
    </w:rPr>
  </w:style>
  <w:style w:type="paragraph" w:customStyle="1" w:styleId="Textkrper-Einzug31">
    <w:name w:val="TextkÃ¶rper-Einzug 31"/>
    <w:basedOn w:val="Standard"/>
    <w:link w:val="Textkrper-Einzug3Zchn0"/>
    <w:rsid w:val="006719BD"/>
    <w:pPr>
      <w:spacing w:before="100" w:after="120" w:line="240" w:lineRule="auto"/>
      <w:ind w:left="283"/>
    </w:pPr>
    <w:rPr>
      <w:rFonts w:ascii="Verdana" w:hAnsi="Verdana" w:cs="Verdana"/>
      <w:sz w:val="16"/>
    </w:rPr>
  </w:style>
  <w:style w:type="character" w:customStyle="1" w:styleId="Textkrper-Einzug3Zchn0">
    <w:name w:val="TextkÃƒÂ¶rper-Einzug 3 Zchn"/>
    <w:basedOn w:val="Absatz-Standardschriftart"/>
    <w:link w:val="Textkrper-Einzug31"/>
    <w:rsid w:val="006719BD"/>
    <w:rPr>
      <w:rFonts w:ascii="Verdana" w:hAnsi="Verdana" w:cs="Verdana"/>
      <w:sz w:val="16"/>
    </w:rPr>
  </w:style>
  <w:style w:type="character" w:styleId="Fett">
    <w:name w:val="Strong"/>
    <w:rsid w:val="005F5F3E"/>
    <w:rPr>
      <w:b/>
    </w:rPr>
  </w:style>
  <w:style w:type="paragraph" w:styleId="berarbeitung">
    <w:name w:val="Revision"/>
    <w:hidden/>
    <w:uiPriority w:val="99"/>
    <w:semiHidden/>
    <w:rsid w:val="00125D51"/>
    <w:pPr>
      <w:spacing w:line="240" w:lineRule="auto"/>
    </w:pPr>
  </w:style>
  <w:style w:type="paragraph" w:customStyle="1" w:styleId="Textkrper-Einzug310">
    <w:name w:val="Textkörper-Einzug 31"/>
    <w:basedOn w:val="Standard"/>
    <w:link w:val="Textkrper-Einzug3Zchn1"/>
    <w:rsid w:val="00C53B93"/>
    <w:pPr>
      <w:spacing w:before="100" w:after="120" w:line="240" w:lineRule="auto"/>
      <w:ind w:left="283"/>
    </w:pPr>
    <w:rPr>
      <w:rFonts w:ascii="Verdana" w:hAnsi="Verdana" w:cs="Verdana"/>
      <w:sz w:val="16"/>
    </w:rPr>
  </w:style>
  <w:style w:type="character" w:customStyle="1" w:styleId="Textkrper-Einzug3Zchn1">
    <w:name w:val="TextkÃ¶rper-Einzug 3 Zchn"/>
    <w:basedOn w:val="Absatz-Standardschriftart"/>
    <w:link w:val="Textkrper-Einzug310"/>
    <w:rsid w:val="00C53B93"/>
    <w:rPr>
      <w:rFonts w:ascii="Verdana" w:hAnsi="Verdana" w:cs="Verdana"/>
      <w:sz w:val="16"/>
    </w:rPr>
  </w:style>
  <w:style w:type="paragraph" w:customStyle="1" w:styleId="DefinitionTerm">
    <w:name w:val="Definition Term"/>
    <w:basedOn w:val="Standard"/>
    <w:next w:val="DefinitionList"/>
    <w:rsid w:val="00C53B93"/>
    <w:pPr>
      <w:spacing w:line="240" w:lineRule="auto"/>
    </w:pPr>
    <w:rPr>
      <w:rFonts w:ascii="Verdana" w:hAnsi="Verdana" w:cs="Verdana"/>
    </w:rPr>
  </w:style>
  <w:style w:type="paragraph" w:customStyle="1" w:styleId="DefinitionList">
    <w:name w:val="Definition List"/>
    <w:basedOn w:val="Standard"/>
    <w:next w:val="DefinitionTerm"/>
    <w:rsid w:val="00C53B93"/>
    <w:pPr>
      <w:spacing w:line="240" w:lineRule="auto"/>
      <w:ind w:left="360"/>
    </w:pPr>
    <w:rPr>
      <w:rFonts w:ascii="Verdana" w:hAnsi="Verdana" w:cs="Verdana"/>
    </w:rPr>
  </w:style>
  <w:style w:type="character" w:customStyle="1" w:styleId="Definition">
    <w:name w:val="Definition"/>
    <w:rsid w:val="00C53B93"/>
    <w:rPr>
      <w:i/>
    </w:rPr>
  </w:style>
  <w:style w:type="paragraph" w:customStyle="1" w:styleId="H1">
    <w:name w:val="H1"/>
    <w:basedOn w:val="Standard"/>
    <w:next w:val="Standard"/>
    <w:rsid w:val="00C53B93"/>
    <w:pPr>
      <w:spacing w:before="100" w:after="100" w:line="240" w:lineRule="auto"/>
    </w:pPr>
    <w:rPr>
      <w:rFonts w:ascii="Verdana" w:hAnsi="Verdana" w:cs="Verdana"/>
      <w:b/>
      <w:sz w:val="48"/>
    </w:rPr>
  </w:style>
  <w:style w:type="paragraph" w:customStyle="1" w:styleId="H2">
    <w:name w:val="H2"/>
    <w:basedOn w:val="Standard"/>
    <w:next w:val="Standard"/>
    <w:rsid w:val="00C53B93"/>
    <w:pPr>
      <w:spacing w:before="100" w:after="100" w:line="240" w:lineRule="auto"/>
    </w:pPr>
    <w:rPr>
      <w:rFonts w:ascii="Verdana" w:hAnsi="Verdana" w:cs="Verdana"/>
      <w:b/>
      <w:sz w:val="36"/>
    </w:rPr>
  </w:style>
  <w:style w:type="paragraph" w:customStyle="1" w:styleId="H3">
    <w:name w:val="H3"/>
    <w:basedOn w:val="Standard"/>
    <w:next w:val="Standard"/>
    <w:rsid w:val="00C53B93"/>
    <w:pPr>
      <w:spacing w:before="100" w:after="100" w:line="240" w:lineRule="auto"/>
    </w:pPr>
    <w:rPr>
      <w:rFonts w:ascii="Verdana" w:hAnsi="Verdana" w:cs="Verdana"/>
      <w:b/>
      <w:sz w:val="28"/>
    </w:rPr>
  </w:style>
  <w:style w:type="paragraph" w:customStyle="1" w:styleId="H4">
    <w:name w:val="H4"/>
    <w:basedOn w:val="Standard"/>
    <w:next w:val="Standard"/>
    <w:rsid w:val="00C53B93"/>
    <w:pPr>
      <w:spacing w:before="100" w:after="100" w:line="240" w:lineRule="auto"/>
    </w:pPr>
    <w:rPr>
      <w:rFonts w:ascii="Verdana" w:hAnsi="Verdana" w:cs="Verdana"/>
      <w:b/>
    </w:rPr>
  </w:style>
  <w:style w:type="paragraph" w:customStyle="1" w:styleId="H5">
    <w:name w:val="H5"/>
    <w:basedOn w:val="Standard"/>
    <w:next w:val="Standard"/>
    <w:rsid w:val="00C53B93"/>
    <w:pPr>
      <w:spacing w:before="100" w:after="100" w:line="240" w:lineRule="auto"/>
    </w:pPr>
    <w:rPr>
      <w:rFonts w:ascii="Verdana" w:hAnsi="Verdana" w:cs="Verdana"/>
      <w:b/>
      <w:sz w:val="20"/>
    </w:rPr>
  </w:style>
  <w:style w:type="paragraph" w:customStyle="1" w:styleId="H6">
    <w:name w:val="H6"/>
    <w:basedOn w:val="Standard"/>
    <w:next w:val="Standard"/>
    <w:rsid w:val="00C53B93"/>
    <w:pPr>
      <w:spacing w:before="100" w:after="100" w:line="240" w:lineRule="auto"/>
    </w:pPr>
    <w:rPr>
      <w:rFonts w:ascii="Verdana" w:hAnsi="Verdana" w:cs="Verdana"/>
      <w:b/>
      <w:sz w:val="16"/>
    </w:rPr>
  </w:style>
  <w:style w:type="paragraph" w:customStyle="1" w:styleId="Address">
    <w:name w:val="Address"/>
    <w:basedOn w:val="Standard"/>
    <w:next w:val="Standard"/>
    <w:rsid w:val="00C53B93"/>
    <w:pPr>
      <w:spacing w:line="240" w:lineRule="auto"/>
    </w:pPr>
    <w:rPr>
      <w:rFonts w:ascii="Verdana" w:hAnsi="Verdana" w:cs="Verdana"/>
      <w:i/>
    </w:rPr>
  </w:style>
  <w:style w:type="paragraph" w:customStyle="1" w:styleId="Blockquote">
    <w:name w:val="Blockquote"/>
    <w:basedOn w:val="Standard"/>
    <w:rsid w:val="00C53B93"/>
    <w:pPr>
      <w:spacing w:before="100" w:after="100" w:line="240" w:lineRule="auto"/>
      <w:ind w:left="360" w:right="360"/>
    </w:pPr>
    <w:rPr>
      <w:rFonts w:ascii="Verdana" w:hAnsi="Verdana" w:cs="Verdana"/>
    </w:rPr>
  </w:style>
  <w:style w:type="character" w:customStyle="1" w:styleId="CITE">
    <w:name w:val="CITE"/>
    <w:rsid w:val="00C53B93"/>
    <w:rPr>
      <w:i/>
    </w:rPr>
  </w:style>
  <w:style w:type="character" w:customStyle="1" w:styleId="CODE">
    <w:name w:val="CODE"/>
    <w:rsid w:val="00C53B93"/>
    <w:rPr>
      <w:rFonts w:ascii="Courier New" w:hAnsi="Courier New" w:cs="Courier New"/>
      <w:sz w:val="20"/>
    </w:rPr>
  </w:style>
  <w:style w:type="character" w:styleId="Hervorhebung">
    <w:name w:val="Emphasis"/>
    <w:rsid w:val="00C53B93"/>
    <w:rPr>
      <w:i/>
    </w:rPr>
  </w:style>
  <w:style w:type="character" w:styleId="Hyperlink">
    <w:name w:val="Hyperlink"/>
    <w:uiPriority w:val="99"/>
    <w:qFormat/>
    <w:rsid w:val="00C53B93"/>
    <w:rPr>
      <w:color w:val="0000FF"/>
      <w:u w:val="single" w:color="0000FF"/>
    </w:rPr>
  </w:style>
  <w:style w:type="character" w:styleId="BesuchterLink">
    <w:name w:val="FollowedHyperlink"/>
    <w:rsid w:val="00C53B93"/>
    <w:rPr>
      <w:color w:val="800080"/>
      <w:u w:val="single"/>
    </w:rPr>
  </w:style>
  <w:style w:type="character" w:customStyle="1" w:styleId="Keyboard">
    <w:name w:val="Keyboard"/>
    <w:rsid w:val="00C53B93"/>
    <w:rPr>
      <w:rFonts w:ascii="Courier New" w:hAnsi="Courier New" w:cs="Courier New"/>
      <w:b/>
      <w:sz w:val="20"/>
    </w:rPr>
  </w:style>
  <w:style w:type="paragraph" w:customStyle="1" w:styleId="Preformatted">
    <w:name w:val="Preformatted"/>
    <w:basedOn w:val="Standard"/>
    <w:rsid w:val="00C53B93"/>
    <w:pPr>
      <w:tabs>
        <w:tab w:val="left" w:pos="0"/>
        <w:tab w:val="left" w:pos="945"/>
        <w:tab w:val="left" w:pos="1905"/>
        <w:tab w:val="left" w:pos="2865"/>
        <w:tab w:val="left" w:pos="3825"/>
        <w:tab w:val="left" w:pos="4785"/>
        <w:tab w:val="left" w:pos="5745"/>
        <w:tab w:val="left" w:pos="6705"/>
        <w:tab w:val="left" w:pos="7665"/>
        <w:tab w:val="left" w:pos="8625"/>
        <w:tab w:val="left" w:pos="9585"/>
      </w:tabs>
      <w:spacing w:line="240" w:lineRule="auto"/>
    </w:pPr>
    <w:rPr>
      <w:rFonts w:ascii="Courier New" w:hAnsi="Courier New" w:cs="Courier New"/>
      <w:sz w:val="20"/>
    </w:rPr>
  </w:style>
  <w:style w:type="paragraph" w:customStyle="1" w:styleId="z-BottomofForm">
    <w:name w:val="z-Bottom of Form"/>
    <w:next w:val="Standard"/>
    <w:rsid w:val="00C53B93"/>
    <w:pPr>
      <w:spacing w:line="240" w:lineRule="auto"/>
      <w:jc w:val="center"/>
    </w:pPr>
    <w:rPr>
      <w:sz w:val="16"/>
    </w:rPr>
  </w:style>
  <w:style w:type="paragraph" w:customStyle="1" w:styleId="z-TopofForm">
    <w:name w:val="z-Top of Form"/>
    <w:next w:val="Standard"/>
    <w:rsid w:val="00C53B93"/>
    <w:pPr>
      <w:spacing w:line="240" w:lineRule="auto"/>
      <w:jc w:val="center"/>
    </w:pPr>
    <w:rPr>
      <w:sz w:val="16"/>
    </w:rPr>
  </w:style>
  <w:style w:type="character" w:customStyle="1" w:styleId="Sample">
    <w:name w:val="Sample"/>
    <w:rsid w:val="00C53B93"/>
    <w:rPr>
      <w:rFonts w:ascii="Courier New" w:hAnsi="Courier New" w:cs="Courier New"/>
    </w:rPr>
  </w:style>
  <w:style w:type="character" w:customStyle="1" w:styleId="Typewriter">
    <w:name w:val="Typewriter"/>
    <w:rsid w:val="00C53B93"/>
    <w:rPr>
      <w:rFonts w:ascii="Courier New" w:hAnsi="Courier New" w:cs="Courier New"/>
      <w:sz w:val="20"/>
    </w:rPr>
  </w:style>
  <w:style w:type="character" w:customStyle="1" w:styleId="Variable">
    <w:name w:val="Variable"/>
    <w:rsid w:val="00C53B93"/>
    <w:rPr>
      <w:i/>
    </w:rPr>
  </w:style>
  <w:style w:type="character" w:customStyle="1" w:styleId="HTMLMarkup">
    <w:name w:val="HTML Markup"/>
    <w:rsid w:val="00C53B93"/>
    <w:rPr>
      <w:color w:val="FF0000"/>
    </w:rPr>
  </w:style>
  <w:style w:type="character" w:customStyle="1" w:styleId="Comment">
    <w:name w:val="Comment"/>
    <w:rsid w:val="00C5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3086">
      <w:bodyDiv w:val="1"/>
      <w:marLeft w:val="0"/>
      <w:marRight w:val="0"/>
      <w:marTop w:val="0"/>
      <w:marBottom w:val="0"/>
      <w:divBdr>
        <w:top w:val="none" w:sz="0" w:space="0" w:color="auto"/>
        <w:left w:val="none" w:sz="0" w:space="0" w:color="auto"/>
        <w:bottom w:val="none" w:sz="0" w:space="0" w:color="auto"/>
        <w:right w:val="none" w:sz="0" w:space="0" w:color="auto"/>
      </w:divBdr>
    </w:div>
    <w:div w:id="410540864">
      <w:bodyDiv w:val="1"/>
      <w:marLeft w:val="0"/>
      <w:marRight w:val="0"/>
      <w:marTop w:val="0"/>
      <w:marBottom w:val="0"/>
      <w:divBdr>
        <w:top w:val="none" w:sz="0" w:space="0" w:color="auto"/>
        <w:left w:val="none" w:sz="0" w:space="0" w:color="auto"/>
        <w:bottom w:val="none" w:sz="0" w:space="0" w:color="auto"/>
        <w:right w:val="none" w:sz="0" w:space="0" w:color="auto"/>
      </w:divBdr>
    </w:div>
    <w:div w:id="1260523612">
      <w:bodyDiv w:val="1"/>
      <w:marLeft w:val="0"/>
      <w:marRight w:val="0"/>
      <w:marTop w:val="0"/>
      <w:marBottom w:val="0"/>
      <w:divBdr>
        <w:top w:val="none" w:sz="0" w:space="0" w:color="auto"/>
        <w:left w:val="none" w:sz="0" w:space="0" w:color="auto"/>
        <w:bottom w:val="none" w:sz="0" w:space="0" w:color="auto"/>
        <w:right w:val="none" w:sz="0" w:space="0" w:color="auto"/>
      </w:divBdr>
    </w:div>
    <w:div w:id="1653682934">
      <w:bodyDiv w:val="1"/>
      <w:marLeft w:val="0"/>
      <w:marRight w:val="0"/>
      <w:marTop w:val="0"/>
      <w:marBottom w:val="0"/>
      <w:divBdr>
        <w:top w:val="none" w:sz="0" w:space="0" w:color="auto"/>
        <w:left w:val="none" w:sz="0" w:space="0" w:color="auto"/>
        <w:bottom w:val="none" w:sz="0" w:space="0" w:color="auto"/>
        <w:right w:val="none" w:sz="0" w:space="0" w:color="auto"/>
      </w:divBdr>
    </w:div>
    <w:div w:id="1678266936">
      <w:bodyDiv w:val="1"/>
      <w:marLeft w:val="0"/>
      <w:marRight w:val="0"/>
      <w:marTop w:val="0"/>
      <w:marBottom w:val="0"/>
      <w:divBdr>
        <w:top w:val="none" w:sz="0" w:space="0" w:color="auto"/>
        <w:left w:val="none" w:sz="0" w:space="0" w:color="auto"/>
        <w:bottom w:val="none" w:sz="0" w:space="0" w:color="auto"/>
        <w:right w:val="none" w:sz="0" w:space="0" w:color="auto"/>
      </w:divBdr>
    </w:div>
    <w:div w:id="1952278676">
      <w:bodyDiv w:val="1"/>
      <w:marLeft w:val="0"/>
      <w:marRight w:val="0"/>
      <w:marTop w:val="0"/>
      <w:marBottom w:val="0"/>
      <w:divBdr>
        <w:top w:val="none" w:sz="0" w:space="0" w:color="auto"/>
        <w:left w:val="none" w:sz="0" w:space="0" w:color="auto"/>
        <w:bottom w:val="none" w:sz="0" w:space="0" w:color="auto"/>
        <w:right w:val="none" w:sz="0" w:space="0" w:color="auto"/>
      </w:divBdr>
    </w:div>
    <w:div w:id="207411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aten1.intra.vlr.gv.at\iiia\Iiia\Martin\GB\GB%202020\Budgetentwicklung%20201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Ausgaben nach Budgetgruppen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009980039920159"/>
          <c:y val="0.21146771092116159"/>
          <c:w val="0.74291417165668661"/>
          <c:h val="0.67445029264390088"/>
        </c:manualLayout>
      </c:layout>
      <c:pie3DChart>
        <c:varyColors val="1"/>
        <c:ser>
          <c:idx val="0"/>
          <c:order val="0"/>
          <c:dPt>
            <c:idx val="0"/>
            <c:bubble3D val="0"/>
            <c:spPr>
              <a:solidFill>
                <a:schemeClr val="accent5">
                  <a:shade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40D-4791-8B4C-EFD9554E365F}"/>
              </c:ext>
            </c:extLst>
          </c:dPt>
          <c:dPt>
            <c:idx val="1"/>
            <c:bubble3D val="0"/>
            <c:spPr>
              <a:solidFill>
                <a:schemeClr val="accent5">
                  <a:shade val="5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40D-4791-8B4C-EFD9554E365F}"/>
              </c:ext>
            </c:extLst>
          </c:dPt>
          <c:dPt>
            <c:idx val="2"/>
            <c:bubble3D val="0"/>
            <c:spPr>
              <a:solidFill>
                <a:schemeClr val="accent5">
                  <a:shade val="6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E40D-4791-8B4C-EFD9554E365F}"/>
              </c:ext>
            </c:extLst>
          </c:dPt>
          <c:dPt>
            <c:idx val="3"/>
            <c:bubble3D val="0"/>
            <c:spPr>
              <a:solidFill>
                <a:schemeClr val="accent5">
                  <a:shade val="7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E40D-4791-8B4C-EFD9554E365F}"/>
              </c:ext>
            </c:extLst>
          </c:dPt>
          <c:dPt>
            <c:idx val="4"/>
            <c:bubble3D val="0"/>
            <c:spPr>
              <a:solidFill>
                <a:schemeClr val="accent5">
                  <a:shade val="8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E40D-4791-8B4C-EFD9554E365F}"/>
              </c:ext>
            </c:extLst>
          </c:dPt>
          <c:dPt>
            <c:idx val="5"/>
            <c:bubble3D val="0"/>
            <c:spPr>
              <a:solidFill>
                <a:schemeClr val="accent5">
                  <a:shade val="9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E40D-4791-8B4C-EFD9554E365F}"/>
              </c:ext>
            </c:extLst>
          </c:dPt>
          <c:dPt>
            <c:idx val="6"/>
            <c:bubble3D val="0"/>
            <c:spPr>
              <a:solidFill>
                <a:schemeClr val="accent5">
                  <a:tint val="9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E40D-4791-8B4C-EFD9554E365F}"/>
              </c:ext>
            </c:extLst>
          </c:dPt>
          <c:dPt>
            <c:idx val="7"/>
            <c:bubble3D val="0"/>
            <c:spPr>
              <a:solidFill>
                <a:schemeClr val="accent5">
                  <a:tint val="8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E40D-4791-8B4C-EFD9554E365F}"/>
              </c:ext>
            </c:extLst>
          </c:dPt>
          <c:dPt>
            <c:idx val="8"/>
            <c:bubble3D val="0"/>
            <c:spPr>
              <a:solidFill>
                <a:schemeClr val="accent5">
                  <a:tint val="7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E40D-4791-8B4C-EFD9554E365F}"/>
              </c:ext>
            </c:extLst>
          </c:dPt>
          <c:dPt>
            <c:idx val="9"/>
            <c:bubble3D val="0"/>
            <c:spPr>
              <a:solidFill>
                <a:schemeClr val="accent5">
                  <a:tint val="6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E40D-4791-8B4C-EFD9554E365F}"/>
              </c:ext>
            </c:extLst>
          </c:dPt>
          <c:dPt>
            <c:idx val="10"/>
            <c:bubble3D val="0"/>
            <c:spPr>
              <a:solidFill>
                <a:schemeClr val="accent5">
                  <a:tint val="5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E40D-4791-8B4C-EFD9554E365F}"/>
              </c:ext>
            </c:extLst>
          </c:dPt>
          <c:dPt>
            <c:idx val="11"/>
            <c:bubble3D val="0"/>
            <c:spPr>
              <a:solidFill>
                <a:schemeClr val="accent5">
                  <a:tint val="4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E40D-4791-8B4C-EFD9554E365F}"/>
              </c:ext>
            </c:extLst>
          </c:dPt>
          <c:dLbls>
            <c:dLbl>
              <c:idx val="2"/>
              <c:layout>
                <c:manualLayout>
                  <c:x val="9.3674697848397694E-3"/>
                  <c:y val="-1.09467065279941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40D-4791-8B4C-EFD9554E365F}"/>
                </c:ext>
              </c:extLst>
            </c:dLbl>
            <c:dLbl>
              <c:idx val="3"/>
              <c:layout>
                <c:manualLayout>
                  <c:x val="1.7581844185644457E-2"/>
                  <c:y val="2.19634043070819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40D-4791-8B4C-EFD9554E365F}"/>
                </c:ext>
              </c:extLst>
            </c:dLbl>
            <c:dLbl>
              <c:idx val="4"/>
              <c:layout>
                <c:manualLayout>
                  <c:x val="-0.15699435774121048"/>
                  <c:y val="-5.15210465002035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40D-4791-8B4C-EFD9554E365F}"/>
                </c:ext>
              </c:extLst>
            </c:dLbl>
            <c:dLbl>
              <c:idx val="5"/>
              <c:layout>
                <c:manualLayout>
                  <c:x val="-9.3562795668506674E-3"/>
                  <c:y val="1.68937171623600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40D-4791-8B4C-EFD9554E365F}"/>
                </c:ext>
              </c:extLst>
            </c:dLbl>
            <c:dLbl>
              <c:idx val="6"/>
              <c:layout>
                <c:manualLayout>
                  <c:x val="-4.7368444213934394E-2"/>
                  <c:y val="-0.2851346255514852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40D-4791-8B4C-EFD9554E365F}"/>
                </c:ext>
              </c:extLst>
            </c:dLbl>
            <c:dLbl>
              <c:idx val="7"/>
              <c:layout>
                <c:manualLayout>
                  <c:x val="0.17850187872375384"/>
                  <c:y val="-0.12521447734162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40D-4791-8B4C-EFD9554E365F}"/>
                </c:ext>
              </c:extLst>
            </c:dLbl>
            <c:dLbl>
              <c:idx val="8"/>
              <c:layout>
                <c:manualLayout>
                  <c:x val="-3.743492542474107E-2"/>
                  <c:y val="2.55928436752892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40D-4791-8B4C-EFD9554E365F}"/>
                </c:ext>
              </c:extLst>
            </c:dLbl>
            <c:dLbl>
              <c:idx val="9"/>
              <c:layout>
                <c:manualLayout>
                  <c:x val="-5.8970814276957897E-2"/>
                  <c:y val="6.9280110039719885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40D-4791-8B4C-EFD9554E365F}"/>
                </c:ext>
              </c:extLst>
            </c:dLbl>
            <c:dLbl>
              <c:idx val="10"/>
              <c:layout>
                <c:manualLayout>
                  <c:x val="4.0866424631052854E-2"/>
                  <c:y val="-3.287867091479874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40D-4791-8B4C-EFD9554E365F}"/>
                </c:ext>
              </c:extLst>
            </c:dLbl>
            <c:dLbl>
              <c:idx val="11"/>
              <c:layout>
                <c:manualLayout>
                  <c:x val="0.12700457353010514"/>
                  <c:y val="-2.19242915491178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E40D-4791-8B4C-EFD9554E365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Tabelle1!$A$22:$A$33</c:f>
              <c:strCache>
                <c:ptCount val="12"/>
                <c:pt idx="0">
                  <c:v>Ausgaben nach Budgetgruppen 2021</c:v>
                </c:pt>
                <c:pt idx="2">
                  <c:v>Vertretungskörper und allgem. Angelegenheiten</c:v>
                </c:pt>
                <c:pt idx="3">
                  <c:v>Öffentliche Ordnung und Sicherheit</c:v>
                </c:pt>
                <c:pt idx="4">
                  <c:v>Unterricht-Erziehung, Sport und Wissenschaft</c:v>
                </c:pt>
                <c:pt idx="5">
                  <c:v>Kunst, Kultur und Kultus</c:v>
                </c:pt>
                <c:pt idx="6">
                  <c:v>Soziale Wohlfahrt und Wohnbauförderung</c:v>
                </c:pt>
                <c:pt idx="7">
                  <c:v>Gesundheit</c:v>
                </c:pt>
                <c:pt idx="8">
                  <c:v>Straßen- und Wasserbau, Verkehr</c:v>
                </c:pt>
                <c:pt idx="9">
                  <c:v>Wirtschaftsförderung</c:v>
                </c:pt>
                <c:pt idx="10">
                  <c:v>Dienstleistungen</c:v>
                </c:pt>
                <c:pt idx="11">
                  <c:v>Finanzwirtschaft</c:v>
                </c:pt>
              </c:strCache>
            </c:strRef>
          </c:cat>
          <c:val>
            <c:numRef>
              <c:f>Tabelle1!$B$22:$B$33</c:f>
              <c:numCache>
                <c:formatCode>General</c:formatCode>
                <c:ptCount val="12"/>
                <c:pt idx="2" formatCode="0.00%">
                  <c:v>0.1178</c:v>
                </c:pt>
                <c:pt idx="3" formatCode="0.00%">
                  <c:v>5.0000000000000001E-3</c:v>
                </c:pt>
                <c:pt idx="4" formatCode="0.00%">
                  <c:v>0.27550000000000002</c:v>
                </c:pt>
                <c:pt idx="5" formatCode="0.00%">
                  <c:v>2.53E-2</c:v>
                </c:pt>
                <c:pt idx="6" formatCode="0.00%">
                  <c:v>0.13539999999999999</c:v>
                </c:pt>
                <c:pt idx="7" formatCode="0.00%">
                  <c:v>0.2762</c:v>
                </c:pt>
                <c:pt idx="8" formatCode="0.00%">
                  <c:v>7.2900000000000006E-2</c:v>
                </c:pt>
                <c:pt idx="9" formatCode="0.00%">
                  <c:v>4.48E-2</c:v>
                </c:pt>
                <c:pt idx="10" formatCode="0.00%">
                  <c:v>5.7999999999999996E-3</c:v>
                </c:pt>
                <c:pt idx="11" formatCode="0.00%">
                  <c:v>4.1300000000000003E-2</c:v>
                </c:pt>
              </c:numCache>
            </c:numRef>
          </c:val>
          <c:extLst>
            <c:ext xmlns:c16="http://schemas.microsoft.com/office/drawing/2014/chart" uri="{C3380CC4-5D6E-409C-BE32-E72D297353CC}">
              <c16:uniqueId val="{00000018-E40D-4791-8B4C-EFD9554E365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Gender Budgeting Bericht-final 2019 formtiert" edit="true"/>
    <f:field ref="objsubject" par="" text="" edit="true"/>
    <f:field ref="objcreatedby" par="" text="Winder, Martin, Mag."/>
    <f:field ref="objcreatedat" par="" date="2018-11-15T08:01:42" text="15.11.2018 08:01:42"/>
    <f:field ref="objchangedby" par="" text="Winder, Martin, Mag."/>
    <f:field ref="objmodifiedat" par="" date="2018-11-15T08:01:44" text="15.11.2018 08:01:44"/>
    <f:field ref="doc_FSCFOLIO_1_1001_FieldDocumentNumber" par="" text=""/>
    <f:field ref="doc_FSCFOLIO_1_1001_FieldSubject" par="" text="" edit="true"/>
    <f:field ref="FSCFOLIO_1_1001_FieldCurrentUser" par="" text="Mag. Martin Winder"/>
    <f:field ref="CCAPRECONFIG_15_1001_Objektname" par="" text="Gender Budgeting Bericht-final 2019 formtiert" edit="true"/>
    <f:field ref="CCAPRECONFIG_15_1001_Objektname" par="" text="Gender Budgeting Bericht-final 2019 formtiert"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CE86C4-CB6C-41D1-ADA1-46F8DA45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9047</Words>
  <Characters>57002</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65918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Winder Martin</dc:creator>
  <cp:lastModifiedBy>Winder Martin</cp:lastModifiedBy>
  <cp:revision>4</cp:revision>
  <cp:lastPrinted>2020-10-27T07:20:00Z</cp:lastPrinted>
  <dcterms:created xsi:type="dcterms:W3CDTF">2020-10-27T07:06:00Z</dcterms:created>
  <dcterms:modified xsi:type="dcterms:W3CDTF">2020-10-27T07:20:00Z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15.11.2018</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Gender Budgeting</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Martin.Winder@vorarlberg.at</vt:lpwstr>
  </property>
  <property fmtid="{D5CDD505-2E9C-101B-9397-08002B2CF9AE}" pid="146" name="FSC#VORARLBERGCFG@15.1700:AgentMobile">
    <vt:lpwstr/>
  </property>
  <property fmtid="{D5CDD505-2E9C-101B-9397-08002B2CF9AE}" pid="147" name="FSC#VORARLBERGCFG@15.1700:AgentPhoneExtension">
    <vt:lpwstr>23810</vt:lpwstr>
  </property>
  <property fmtid="{D5CDD505-2E9C-101B-9397-08002B2CF9AE}" pid="148" name="FSC#VORARLBERGCFG@15.1700:AgentGender">
    <vt:lpwstr>m</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Finanzangelegenheiten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Gender Budgeting Bericht-final 2019 formtiert</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IIIa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IIIa-309.03</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Gender Budgeting</vt:lpwstr>
  </property>
  <property fmtid="{D5CDD505-2E9C-101B-9397-08002B2CF9AE}" pid="183" name="FSC#COOELAK@1.1001:FileReference">
    <vt:lpwstr>IIIa-309.03</vt:lpwstr>
  </property>
  <property fmtid="{D5CDD505-2E9C-101B-9397-08002B2CF9AE}" pid="184" name="FSC#COOELAK@1.1001:FileRefYear">
    <vt:lpwstr>2006</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Winder Martin, Mag., Landesregierung Vorarlberg, IIIa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IIIa (Abt. Finanzangelegenheiten)</vt:lpwstr>
  </property>
  <property fmtid="{D5CDD505-2E9C-101B-9397-08002B2CF9AE}" pid="196" name="FSC#COOELAK@1.1001:CreatedAt">
    <vt:lpwstr>15.11.2018</vt:lpwstr>
  </property>
  <property fmtid="{D5CDD505-2E9C-101B-9397-08002B2CF9AE}" pid="197" name="FSC#COOELAK@1.1001:OU">
    <vt:lpwstr>IIIa (Abt. Finanzangelegenheiten)</vt:lpwstr>
  </property>
  <property fmtid="{D5CDD505-2E9C-101B-9397-08002B2CF9AE}" pid="198" name="FSC#COOELAK@1.1001:Priority">
    <vt:lpwstr> ()</vt:lpwstr>
  </property>
  <property fmtid="{D5CDD505-2E9C-101B-9397-08002B2CF9AE}" pid="199" name="FSC#COOELAK@1.1001:ObjBarCode">
    <vt:lpwstr>*COO.1000.3210.3.897613*</vt:lpwstr>
  </property>
  <property fmtid="{D5CDD505-2E9C-101B-9397-08002B2CF9AE}" pid="200" name="FSC#COOELAK@1.1001:RefBarCode">
    <vt:lpwstr>*COO.1000.3210.4.897613*</vt:lpwstr>
  </property>
  <property fmtid="{D5CDD505-2E9C-101B-9397-08002B2CF9AE}" pid="201" name="FSC#COOELAK@1.1001:FileRefBarCode">
    <vt:lpwstr>*IIIa-309.03*</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IIIa-309</vt:lpwstr>
  </property>
  <property fmtid="{D5CDD505-2E9C-101B-9397-08002B2CF9AE}" pid="215" name="FSC#COOELAK@1.1001:CurrentUserRolePos">
    <vt:lpwstr>Bearbeiter,-in</vt:lpwstr>
  </property>
  <property fmtid="{D5CDD505-2E9C-101B-9397-08002B2CF9AE}" pid="216" name="FSC#COOELAK@1.1001:CurrentUserEmail">
    <vt:lpwstr>Martin.Winder@vorarlberg.at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 Martin Winder</vt:lpwstr>
  </property>
  <property fmtid="{D5CDD505-2E9C-101B-9397-08002B2CF9AE}" pid="224" name="FSC#ATSTATECFG@1.1001:AgentPhone">
    <vt:lpwstr>+43(0)5574 511 23810</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15.11.2018</vt:lpwstr>
  </property>
  <property fmtid="{D5CDD505-2E9C-101B-9397-08002B2CF9AE}" pid="228" name="FSC#ATSTATECFG@1.1001:SubfileSubject">
    <vt:lpwstr>Gender Budgeting Bericht-final 2019 formtiert</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IIIa-309.03-315</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COO.1000.3210.3.897613</vt:lpwstr>
  </property>
  <property fmtid="{D5CDD505-2E9C-101B-9397-08002B2CF9AE}" pid="288" name="FSC#FSCFOLIO@1.1001:docpropproject">
    <vt:lpwstr/>
  </property>
</Properties>
</file>