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863" w:rsidRDefault="00A33863" w:rsidP="00A33863">
      <w:pPr>
        <w:tabs>
          <w:tab w:val="left" w:pos="3686"/>
          <w:tab w:val="left" w:pos="7371"/>
        </w:tabs>
        <w:ind w:left="-335"/>
        <w:rPr>
          <w:sz w:val="20"/>
        </w:rPr>
      </w:pPr>
      <w:r>
        <w:rPr>
          <w:rFonts w:ascii="Calibri" w:hAnsi="Calibri"/>
          <w:noProof/>
          <w:lang w:eastAsia="de-AT"/>
        </w:rPr>
        <w:drawing>
          <wp:anchor distT="0" distB="0" distL="114300" distR="114300" simplePos="0" relativeHeight="251659264" behindDoc="0" locked="0" layoutInCell="1" allowOverlap="1" wp14:anchorId="15C77DC4" wp14:editId="21307B28">
            <wp:simplePos x="0" y="0"/>
            <wp:positionH relativeFrom="margin">
              <wp:posOffset>1979369</wp:posOffset>
            </wp:positionH>
            <wp:positionV relativeFrom="paragraph">
              <wp:posOffset>46562</wp:posOffset>
            </wp:positionV>
            <wp:extent cx="1985010" cy="781050"/>
            <wp:effectExtent l="0" t="0" r="0" b="0"/>
            <wp:wrapSquare wrapText="bothSides"/>
            <wp:docPr id="7" name="Grafik 7" descr="Logo-auf-Weiss-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auf-Weiss-RG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501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44126">
        <w:rPr>
          <w:sz w:val="20"/>
        </w:rPr>
        <w:t xml:space="preserve">Amt der </w:t>
      </w:r>
    </w:p>
    <w:p w:rsidR="00A33863" w:rsidRPr="00644126" w:rsidRDefault="00A33863" w:rsidP="00A33863">
      <w:pPr>
        <w:tabs>
          <w:tab w:val="left" w:pos="3686"/>
          <w:tab w:val="left" w:pos="7371"/>
        </w:tabs>
        <w:ind w:left="-335"/>
        <w:rPr>
          <w:sz w:val="20"/>
        </w:rPr>
      </w:pPr>
      <w:r w:rsidRPr="00644126">
        <w:rPr>
          <w:sz w:val="20"/>
        </w:rPr>
        <w:t>Vorarlberger Landesregierung</w:t>
      </w:r>
    </w:p>
    <w:p w:rsidR="00A33863" w:rsidRPr="00644126" w:rsidRDefault="00A33863" w:rsidP="00A33863">
      <w:pPr>
        <w:ind w:left="-323"/>
        <w:rPr>
          <w:sz w:val="20"/>
        </w:rPr>
      </w:pPr>
      <w:r w:rsidRPr="00644126">
        <w:rPr>
          <w:sz w:val="20"/>
        </w:rPr>
        <w:t>Abt. Wohnbauförderung (IIId)</w:t>
      </w:r>
      <w:r w:rsidRPr="00644126">
        <w:rPr>
          <w:rFonts w:ascii="Calibri" w:hAnsi="Calibri"/>
          <w:noProof/>
          <w:lang w:eastAsia="de-AT"/>
        </w:rPr>
        <w:t xml:space="preserve"> </w:t>
      </w:r>
    </w:p>
    <w:p w:rsidR="00A33863" w:rsidRPr="00644126" w:rsidRDefault="00A33863" w:rsidP="00A33863">
      <w:pPr>
        <w:ind w:left="-322"/>
        <w:rPr>
          <w:sz w:val="20"/>
        </w:rPr>
      </w:pPr>
      <w:r w:rsidRPr="00644126">
        <w:rPr>
          <w:sz w:val="20"/>
        </w:rPr>
        <w:t>Römerstraße 15</w:t>
      </w:r>
    </w:p>
    <w:p w:rsidR="00A33863" w:rsidRDefault="00A33863" w:rsidP="00A33863">
      <w:pPr>
        <w:ind w:left="-322"/>
        <w:rPr>
          <w:sz w:val="20"/>
        </w:rPr>
      </w:pPr>
      <w:r w:rsidRPr="00644126">
        <w:rPr>
          <w:sz w:val="20"/>
        </w:rPr>
        <w:t>6900 Bregenz</w:t>
      </w:r>
    </w:p>
    <w:p w:rsidR="00F9686F" w:rsidRDefault="00A33863" w:rsidP="00A33863">
      <w:pPr>
        <w:ind w:left="-322"/>
        <w:rPr>
          <w:sz w:val="22"/>
        </w:rPr>
      </w:pPr>
      <w:r>
        <w:rPr>
          <w:sz w:val="20"/>
        </w:rPr>
        <w:t xml:space="preserve">E-Mail: </w:t>
      </w:r>
      <w:hyperlink r:id="rId8" w:history="1">
        <w:r w:rsidRPr="00165BB4">
          <w:rPr>
            <w:rStyle w:val="Hyperlink"/>
            <w:sz w:val="20"/>
          </w:rPr>
          <w:t>wohnen@vorarlberg.at</w:t>
        </w:r>
      </w:hyperlink>
    </w:p>
    <w:p w:rsidR="00F9686F" w:rsidRDefault="00F9686F" w:rsidP="00F9686F">
      <w:pPr>
        <w:ind w:left="-322"/>
        <w:rPr>
          <w:sz w:val="22"/>
        </w:rPr>
      </w:pPr>
    </w:p>
    <w:p w:rsidR="00F9686F" w:rsidRDefault="00F9686F" w:rsidP="00F9686F">
      <w:pPr>
        <w:ind w:left="-322"/>
        <w:rPr>
          <w:sz w:val="22"/>
        </w:rPr>
      </w:pPr>
    </w:p>
    <w:p w:rsidR="00F9686F" w:rsidRDefault="00F9686F" w:rsidP="00F9686F"/>
    <w:p w:rsidR="00111422" w:rsidRDefault="00111422" w:rsidP="00111422">
      <w:pPr>
        <w:jc w:val="center"/>
        <w:rPr>
          <w:b/>
          <w:sz w:val="36"/>
        </w:rPr>
      </w:pPr>
      <w:r>
        <w:rPr>
          <w:b/>
          <w:sz w:val="36"/>
        </w:rPr>
        <w:t>Erklärung zur Mithaftung von Ehegattinnen/Ehegatten</w:t>
      </w:r>
    </w:p>
    <w:p w:rsidR="00111422" w:rsidRDefault="00111422" w:rsidP="00111422">
      <w:pPr>
        <w:jc w:val="center"/>
        <w:rPr>
          <w:b/>
          <w:sz w:val="36"/>
        </w:rPr>
      </w:pPr>
      <w:r>
        <w:rPr>
          <w:b/>
          <w:sz w:val="36"/>
        </w:rPr>
        <w:t xml:space="preserve">gemäß § 25a Konsumentenschutzgesetz </w:t>
      </w:r>
    </w:p>
    <w:p w:rsidR="00111422" w:rsidRDefault="00111422" w:rsidP="00111422">
      <w:pPr>
        <w:jc w:val="center"/>
        <w:rPr>
          <w:b/>
          <w:sz w:val="36"/>
        </w:rPr>
      </w:pPr>
      <w:r>
        <w:rPr>
          <w:b/>
          <w:sz w:val="36"/>
        </w:rPr>
        <w:t>als Beilage zum Wohnbauförderungsantrag</w:t>
      </w:r>
    </w:p>
    <w:p w:rsidR="00111422" w:rsidRDefault="00111422" w:rsidP="00111422">
      <w:pPr>
        <w:jc w:val="center"/>
        <w:rPr>
          <w:sz w:val="28"/>
        </w:rPr>
      </w:pPr>
    </w:p>
    <w:p w:rsidR="00111422" w:rsidRPr="00833006" w:rsidRDefault="00111422" w:rsidP="00111422">
      <w:pPr>
        <w:jc w:val="center"/>
        <w:rPr>
          <w:sz w:val="28"/>
        </w:rPr>
      </w:pPr>
      <w:r>
        <w:rPr>
          <w:sz w:val="28"/>
        </w:rPr>
        <w:t xml:space="preserve">zur Aktenzahl: </w:t>
      </w:r>
      <w:r w:rsidRPr="00833006">
        <w:rPr>
          <w:sz w:val="28"/>
        </w:rPr>
        <w:t>IIId-WBF-</w:t>
      </w:r>
      <w:r w:rsidRPr="00833006">
        <w:t xml:space="preserve"> </w:t>
      </w:r>
      <w:sdt>
        <w:sdtPr>
          <w:id w:val="-789893754"/>
          <w:showingPlcHdr/>
          <w:text/>
        </w:sdtPr>
        <w:sdtEndPr/>
        <w:sdtContent>
          <w:r w:rsidRPr="00833006">
            <w:t xml:space="preserve">     </w:t>
          </w:r>
        </w:sdtContent>
      </w:sdt>
    </w:p>
    <w:p w:rsidR="00111422" w:rsidRDefault="00111422" w:rsidP="00111422"/>
    <w:p w:rsidR="00111422" w:rsidRDefault="00111422" w:rsidP="00111422"/>
    <w:p w:rsidR="00111422" w:rsidRPr="001D34FD" w:rsidRDefault="00111422" w:rsidP="00111422">
      <w:pPr>
        <w:ind w:left="-322"/>
        <w:rPr>
          <w:rFonts w:cstheme="minorHAnsi"/>
          <w:szCs w:val="24"/>
        </w:rPr>
      </w:pPr>
      <w:r w:rsidRPr="001D34FD">
        <w:rPr>
          <w:rFonts w:cstheme="minorHAnsi"/>
          <w:szCs w:val="24"/>
        </w:rPr>
        <w:t>Gemäß § 25a Konsumentenschutzgesetz hat das Land Vorarlbe</w:t>
      </w:r>
      <w:r>
        <w:rPr>
          <w:rFonts w:cstheme="minorHAnsi"/>
          <w:szCs w:val="24"/>
        </w:rPr>
        <w:t xml:space="preserve">rg als Kreditgeber </w:t>
      </w:r>
      <w:r w:rsidRPr="001D34FD">
        <w:rPr>
          <w:rFonts w:cstheme="minorHAnsi"/>
          <w:szCs w:val="24"/>
        </w:rPr>
        <w:t>Eheg</w:t>
      </w:r>
      <w:r>
        <w:rPr>
          <w:rFonts w:cstheme="minorHAnsi"/>
          <w:szCs w:val="24"/>
        </w:rPr>
        <w:t xml:space="preserve">atten, die als </w:t>
      </w:r>
      <w:r w:rsidRPr="001D34FD">
        <w:rPr>
          <w:rFonts w:cstheme="minorHAnsi"/>
          <w:szCs w:val="24"/>
        </w:rPr>
        <w:t xml:space="preserve">Verbraucher gemeinsam einen </w:t>
      </w:r>
      <w:r>
        <w:rPr>
          <w:rFonts w:cstheme="minorHAnsi"/>
          <w:szCs w:val="24"/>
        </w:rPr>
        <w:t xml:space="preserve">Kredit aufnehmen, mag auch </w:t>
      </w:r>
      <w:r w:rsidRPr="001D34FD">
        <w:rPr>
          <w:rFonts w:cstheme="minorHAnsi"/>
          <w:szCs w:val="24"/>
        </w:rPr>
        <w:t>e</w:t>
      </w:r>
      <w:r>
        <w:rPr>
          <w:rFonts w:cstheme="minorHAnsi"/>
          <w:szCs w:val="24"/>
        </w:rPr>
        <w:t xml:space="preserve">iner die Haftung nur als </w:t>
      </w:r>
      <w:r w:rsidRPr="001D34FD">
        <w:rPr>
          <w:rFonts w:cstheme="minorHAnsi"/>
          <w:szCs w:val="24"/>
        </w:rPr>
        <w:t>Bürge</w:t>
      </w:r>
      <w:r>
        <w:rPr>
          <w:rFonts w:cstheme="minorHAnsi"/>
          <w:szCs w:val="24"/>
        </w:rPr>
        <w:t xml:space="preserve"> eingehen, oder </w:t>
      </w:r>
      <w:r w:rsidRPr="001D34FD">
        <w:rPr>
          <w:rFonts w:cstheme="minorHAnsi"/>
          <w:szCs w:val="24"/>
        </w:rPr>
        <w:t>einem Ehegatten, der als Verbraucher die Haftung für eine bestehende Kr</w:t>
      </w:r>
      <w:r>
        <w:rPr>
          <w:rFonts w:cstheme="minorHAnsi"/>
          <w:szCs w:val="24"/>
        </w:rPr>
        <w:t xml:space="preserve">edit-verbindlichkeit </w:t>
      </w:r>
      <w:r w:rsidRPr="001D34FD">
        <w:rPr>
          <w:rFonts w:cstheme="minorHAnsi"/>
          <w:szCs w:val="24"/>
        </w:rPr>
        <w:t>des anderen übernimmt, durch die Übergabe einer gesonderten Urkunde darüber zu belehren,</w:t>
      </w:r>
      <w:r w:rsidR="00DE7BFB">
        <w:rPr>
          <w:rFonts w:cstheme="minorHAnsi"/>
          <w:szCs w:val="24"/>
        </w:rPr>
        <w:t xml:space="preserve"> </w:t>
      </w:r>
    </w:p>
    <w:p w:rsidR="00111422" w:rsidRDefault="00111422" w:rsidP="00111422">
      <w:pPr>
        <w:pStyle w:val="Listenabsatz"/>
        <w:numPr>
          <w:ilvl w:val="0"/>
          <w:numId w:val="4"/>
        </w:numPr>
        <w:spacing w:before="120" w:after="120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dass, falls die </w:t>
      </w:r>
      <w:r w:rsidRPr="001D34FD">
        <w:rPr>
          <w:rFonts w:cstheme="minorHAnsi"/>
          <w:szCs w:val="24"/>
        </w:rPr>
        <w:t>Ehegatten solidarisch hafte</w:t>
      </w:r>
      <w:r>
        <w:rPr>
          <w:rFonts w:cstheme="minorHAnsi"/>
          <w:szCs w:val="24"/>
        </w:rPr>
        <w:t xml:space="preserve">n, von jedem der </w:t>
      </w:r>
      <w:r w:rsidRPr="001D34FD">
        <w:rPr>
          <w:rFonts w:cstheme="minorHAnsi"/>
          <w:szCs w:val="24"/>
        </w:rPr>
        <w:t xml:space="preserve">Schuldner in beliebiger Reihenfolge der volle Schuldbetrag verlangt werden kann, ohne Rücksicht darauf, </w:t>
      </w:r>
    </w:p>
    <w:p w:rsidR="00111422" w:rsidRDefault="00111422" w:rsidP="00111422">
      <w:pPr>
        <w:pStyle w:val="Listenabsatz"/>
        <w:spacing w:before="120" w:after="120"/>
        <w:ind w:left="398"/>
        <w:rPr>
          <w:rFonts w:cstheme="minorHAnsi"/>
          <w:szCs w:val="24"/>
        </w:rPr>
      </w:pPr>
      <w:r w:rsidRPr="001D34FD">
        <w:rPr>
          <w:rFonts w:cstheme="minorHAnsi"/>
          <w:szCs w:val="24"/>
        </w:rPr>
        <w:t>wem von Ihnen die Kreditsumme zugekommen ist,</w:t>
      </w:r>
    </w:p>
    <w:p w:rsidR="00111422" w:rsidRPr="001D34FD" w:rsidRDefault="00111422" w:rsidP="00111422">
      <w:pPr>
        <w:pStyle w:val="Listenabsatz"/>
        <w:spacing w:before="120" w:after="120"/>
        <w:ind w:left="398"/>
        <w:jc w:val="both"/>
        <w:rPr>
          <w:rFonts w:cstheme="minorHAnsi"/>
          <w:szCs w:val="24"/>
        </w:rPr>
      </w:pPr>
    </w:p>
    <w:p w:rsidR="00111422" w:rsidRDefault="00111422" w:rsidP="00111422">
      <w:pPr>
        <w:pStyle w:val="Listenabsatz"/>
        <w:numPr>
          <w:ilvl w:val="0"/>
          <w:numId w:val="4"/>
        </w:numPr>
        <w:spacing w:before="120" w:after="120"/>
        <w:jc w:val="both"/>
        <w:rPr>
          <w:rFonts w:cstheme="minorHAnsi"/>
          <w:szCs w:val="24"/>
        </w:rPr>
      </w:pPr>
      <w:r w:rsidRPr="001D34FD">
        <w:rPr>
          <w:rFonts w:cstheme="minorHAnsi"/>
          <w:szCs w:val="24"/>
        </w:rPr>
        <w:t>dass die Haftung auch bei Auflösung der Ehe aufrecht bleibt sowie</w:t>
      </w:r>
    </w:p>
    <w:p w:rsidR="00111422" w:rsidRPr="001D34FD" w:rsidRDefault="00111422" w:rsidP="00111422">
      <w:pPr>
        <w:pStyle w:val="Listenabsatz"/>
        <w:spacing w:before="120" w:after="120"/>
        <w:ind w:left="398"/>
        <w:jc w:val="both"/>
        <w:rPr>
          <w:rFonts w:cstheme="minorHAnsi"/>
          <w:szCs w:val="24"/>
        </w:rPr>
      </w:pPr>
    </w:p>
    <w:p w:rsidR="00111422" w:rsidRPr="001D34FD" w:rsidRDefault="00111422" w:rsidP="00111422">
      <w:pPr>
        <w:pStyle w:val="Listenabsatz"/>
        <w:numPr>
          <w:ilvl w:val="0"/>
          <w:numId w:val="4"/>
        </w:numPr>
        <w:spacing w:before="120" w:after="120"/>
        <w:rPr>
          <w:rFonts w:cstheme="minorHAnsi"/>
          <w:szCs w:val="24"/>
        </w:rPr>
      </w:pPr>
      <w:r w:rsidRPr="001D34FD">
        <w:rPr>
          <w:rFonts w:cstheme="minorHAnsi"/>
          <w:szCs w:val="24"/>
        </w:rPr>
        <w:t>dass nur das Gericht im Falle der Scheidung di</w:t>
      </w:r>
      <w:r>
        <w:rPr>
          <w:rFonts w:cstheme="minorHAnsi"/>
          <w:szCs w:val="24"/>
        </w:rPr>
        <w:t>e Haftung eines</w:t>
      </w:r>
      <w:r w:rsidRPr="001D34FD">
        <w:rPr>
          <w:rFonts w:cstheme="minorHAnsi"/>
          <w:szCs w:val="24"/>
        </w:rPr>
        <w:t xml:space="preserve"> der Ehegatten gemäß § 98 Ehegesetz auf eine Ausfallsbürgschaft beschränken kann, was binnen eines Jahres nach Eintritt der Rechtskraft der Scheidung beantragt werden müsste.</w:t>
      </w:r>
    </w:p>
    <w:p w:rsidR="00111422" w:rsidRPr="001D34FD" w:rsidRDefault="00111422" w:rsidP="00111422">
      <w:pPr>
        <w:spacing w:after="120"/>
        <w:ind w:left="-322"/>
        <w:jc w:val="both"/>
        <w:rPr>
          <w:rFonts w:cstheme="minorHAnsi"/>
          <w:b/>
          <w:szCs w:val="24"/>
        </w:rPr>
      </w:pPr>
    </w:p>
    <w:p w:rsidR="00111422" w:rsidRPr="001D34FD" w:rsidRDefault="00111422" w:rsidP="00111422">
      <w:pPr>
        <w:spacing w:after="120"/>
        <w:ind w:left="-322"/>
        <w:jc w:val="both"/>
        <w:rPr>
          <w:rFonts w:cstheme="minorHAnsi"/>
          <w:b/>
          <w:szCs w:val="24"/>
        </w:rPr>
      </w:pPr>
    </w:p>
    <w:p w:rsidR="00111422" w:rsidRPr="001D34FD" w:rsidRDefault="00111422" w:rsidP="00111422">
      <w:pPr>
        <w:spacing w:after="120"/>
        <w:ind w:left="-322"/>
        <w:jc w:val="both"/>
        <w:rPr>
          <w:rFonts w:cstheme="minorHAnsi"/>
          <w:b/>
          <w:szCs w:val="24"/>
        </w:rPr>
      </w:pPr>
      <w:r w:rsidRPr="001D34FD">
        <w:rPr>
          <w:rFonts w:cstheme="minorHAnsi"/>
          <w:b/>
          <w:szCs w:val="24"/>
        </w:rPr>
        <w:t>Bestätigung der Belehrung gemäß § 25a Konsumentenschutzgesetz:</w:t>
      </w:r>
    </w:p>
    <w:p w:rsidR="00111422" w:rsidRPr="001D34FD" w:rsidRDefault="00111422" w:rsidP="00111422">
      <w:pPr>
        <w:ind w:left="-322"/>
        <w:rPr>
          <w:rFonts w:cstheme="minorHAnsi"/>
          <w:szCs w:val="24"/>
        </w:rPr>
      </w:pPr>
      <w:r w:rsidRPr="001D34FD">
        <w:rPr>
          <w:rFonts w:cstheme="minorHAnsi"/>
          <w:szCs w:val="24"/>
        </w:rPr>
        <w:t>Wir erklären durch unsere Unterschrifte</w:t>
      </w:r>
      <w:r w:rsidR="007B52B4">
        <w:rPr>
          <w:rFonts w:cstheme="minorHAnsi"/>
          <w:szCs w:val="24"/>
        </w:rPr>
        <w:t>n, diese Belehrung gemäß § 25</w:t>
      </w:r>
      <w:r>
        <w:rPr>
          <w:rFonts w:cstheme="minorHAnsi"/>
          <w:szCs w:val="24"/>
        </w:rPr>
        <w:t xml:space="preserve">a </w:t>
      </w:r>
      <w:r w:rsidRPr="001D34FD">
        <w:rPr>
          <w:rFonts w:cstheme="minorHAnsi"/>
          <w:szCs w:val="24"/>
        </w:rPr>
        <w:t>Konsumenten</w:t>
      </w:r>
      <w:r>
        <w:rPr>
          <w:rFonts w:cstheme="minorHAnsi"/>
          <w:szCs w:val="24"/>
        </w:rPr>
        <w:t>-</w:t>
      </w:r>
      <w:r w:rsidRPr="001D34FD">
        <w:rPr>
          <w:rFonts w:cstheme="minorHAnsi"/>
          <w:szCs w:val="24"/>
        </w:rPr>
        <w:t>schutzgesetz zur Kenntnis genommen zu haben.</w:t>
      </w:r>
    </w:p>
    <w:p w:rsidR="00111422" w:rsidRDefault="00111422" w:rsidP="00111422"/>
    <w:p w:rsidR="00111422" w:rsidRDefault="00111422" w:rsidP="00111422"/>
    <w:p w:rsidR="00111422" w:rsidRDefault="00111422" w:rsidP="00111422"/>
    <w:p w:rsidR="00111422" w:rsidRDefault="00DE7BFB" w:rsidP="00111422">
      <w:pPr>
        <w:tabs>
          <w:tab w:val="left" w:pos="2489"/>
        </w:tabs>
      </w:pPr>
      <w:sdt>
        <w:sdtPr>
          <w:id w:val="-588773012"/>
          <w:showingPlcHdr/>
          <w:text/>
        </w:sdtPr>
        <w:sdtEndPr/>
        <w:sdtContent>
          <w:r w:rsidR="00111422">
            <w:t xml:space="preserve">     </w:t>
          </w:r>
        </w:sdtContent>
      </w:sdt>
      <w:r w:rsidR="00111422">
        <w:tab/>
      </w:r>
      <w:sdt>
        <w:sdtPr>
          <w:id w:val="11666626"/>
          <w:showingPlcHdr/>
          <w:text/>
        </w:sdtPr>
        <w:sdtEndPr/>
        <w:sdtContent>
          <w:r w:rsidR="00111422">
            <w:t xml:space="preserve">     </w:t>
          </w:r>
        </w:sdtContent>
      </w:sdt>
    </w:p>
    <w:p w:rsidR="00111422" w:rsidRPr="004B3236" w:rsidRDefault="00111422" w:rsidP="00111422">
      <w:pPr>
        <w:pBdr>
          <w:top w:val="single" w:sz="4" w:space="1" w:color="auto"/>
        </w:pBdr>
        <w:tabs>
          <w:tab w:val="left" w:pos="2552"/>
          <w:tab w:val="left" w:pos="5670"/>
        </w:tabs>
        <w:ind w:left="-284" w:right="-435"/>
        <w:rPr>
          <w:rFonts w:cstheme="minorHAnsi"/>
          <w:szCs w:val="24"/>
        </w:rPr>
      </w:pPr>
      <w:r w:rsidRPr="004B3236">
        <w:rPr>
          <w:rFonts w:cstheme="minorHAnsi"/>
          <w:szCs w:val="24"/>
        </w:rPr>
        <w:t>Ort</w:t>
      </w:r>
      <w:r w:rsidRPr="004B3236">
        <w:rPr>
          <w:rFonts w:cstheme="minorHAnsi"/>
          <w:szCs w:val="24"/>
        </w:rPr>
        <w:tab/>
        <w:t>Datum</w:t>
      </w:r>
      <w:r w:rsidRPr="004B3236">
        <w:rPr>
          <w:rFonts w:cstheme="minorHAnsi"/>
          <w:szCs w:val="24"/>
        </w:rPr>
        <w:tab/>
        <w:t>Unterschrift beider</w:t>
      </w:r>
    </w:p>
    <w:p w:rsidR="001D34FD" w:rsidRPr="000269EB" w:rsidRDefault="001D34FD" w:rsidP="00111422">
      <w:pPr>
        <w:jc w:val="center"/>
        <w:rPr>
          <w:rFonts w:cstheme="minorHAnsi"/>
          <w:szCs w:val="24"/>
        </w:rPr>
      </w:pPr>
    </w:p>
    <w:sectPr w:rsidR="001D34FD" w:rsidRPr="000269EB" w:rsidSect="001D34FD">
      <w:footerReference w:type="default" r:id="rId9"/>
      <w:pgSz w:w="11906" w:h="16838"/>
      <w:pgMar w:top="568" w:right="1133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120F" w:rsidRDefault="0023120F" w:rsidP="00D96785">
      <w:r>
        <w:separator/>
      </w:r>
    </w:p>
  </w:endnote>
  <w:endnote w:type="continuationSeparator" w:id="0">
    <w:p w:rsidR="0023120F" w:rsidRDefault="0023120F" w:rsidP="00D96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-1027250290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D96785" w:rsidRPr="000269EB" w:rsidRDefault="00D96785" w:rsidP="00D96785">
            <w:pPr>
              <w:pStyle w:val="Fuzeile"/>
              <w:rPr>
                <w:sz w:val="18"/>
                <w:szCs w:val="18"/>
              </w:rPr>
            </w:pPr>
            <w:r w:rsidRPr="000269EB">
              <w:rPr>
                <w:sz w:val="18"/>
                <w:szCs w:val="18"/>
              </w:rPr>
              <w:t xml:space="preserve">Version vom </w:t>
            </w:r>
            <w:r w:rsidR="00027A17">
              <w:rPr>
                <w:sz w:val="18"/>
                <w:szCs w:val="18"/>
              </w:rPr>
              <w:t>01.01.2025</w:t>
            </w:r>
            <w:r w:rsidRPr="000269EB">
              <w:rPr>
                <w:sz w:val="18"/>
                <w:szCs w:val="18"/>
              </w:rPr>
              <w:tab/>
            </w:r>
            <w:r w:rsidRPr="000269EB">
              <w:rPr>
                <w:sz w:val="18"/>
                <w:szCs w:val="18"/>
              </w:rPr>
              <w:tab/>
            </w:r>
            <w:r w:rsidRPr="000269EB">
              <w:rPr>
                <w:sz w:val="18"/>
                <w:szCs w:val="18"/>
                <w:lang w:val="de-DE"/>
              </w:rPr>
              <w:t xml:space="preserve">Seite </w:t>
            </w:r>
            <w:r w:rsidRPr="000269EB">
              <w:rPr>
                <w:b/>
                <w:bCs/>
                <w:sz w:val="18"/>
                <w:szCs w:val="18"/>
              </w:rPr>
              <w:fldChar w:fldCharType="begin"/>
            </w:r>
            <w:r w:rsidRPr="000269EB">
              <w:rPr>
                <w:b/>
                <w:bCs/>
                <w:sz w:val="18"/>
                <w:szCs w:val="18"/>
              </w:rPr>
              <w:instrText>PAGE</w:instrText>
            </w:r>
            <w:r w:rsidRPr="000269EB">
              <w:rPr>
                <w:b/>
                <w:bCs/>
                <w:sz w:val="18"/>
                <w:szCs w:val="18"/>
              </w:rPr>
              <w:fldChar w:fldCharType="separate"/>
            </w:r>
            <w:r w:rsidR="00DE7BFB">
              <w:rPr>
                <w:b/>
                <w:bCs/>
                <w:noProof/>
                <w:sz w:val="18"/>
                <w:szCs w:val="18"/>
              </w:rPr>
              <w:t>1</w:t>
            </w:r>
            <w:r w:rsidRPr="000269EB">
              <w:rPr>
                <w:b/>
                <w:bCs/>
                <w:sz w:val="18"/>
                <w:szCs w:val="18"/>
              </w:rPr>
              <w:fldChar w:fldCharType="end"/>
            </w:r>
            <w:r w:rsidRPr="000269EB">
              <w:rPr>
                <w:sz w:val="18"/>
                <w:szCs w:val="18"/>
                <w:lang w:val="de-DE"/>
              </w:rPr>
              <w:t xml:space="preserve"> von </w:t>
            </w:r>
            <w:r w:rsidRPr="000269EB">
              <w:rPr>
                <w:b/>
                <w:bCs/>
                <w:sz w:val="18"/>
                <w:szCs w:val="18"/>
              </w:rPr>
              <w:fldChar w:fldCharType="begin"/>
            </w:r>
            <w:r w:rsidRPr="000269EB">
              <w:rPr>
                <w:b/>
                <w:bCs/>
                <w:sz w:val="18"/>
                <w:szCs w:val="18"/>
              </w:rPr>
              <w:instrText>NUMPAGES</w:instrText>
            </w:r>
            <w:r w:rsidRPr="000269EB">
              <w:rPr>
                <w:b/>
                <w:bCs/>
                <w:sz w:val="18"/>
                <w:szCs w:val="18"/>
              </w:rPr>
              <w:fldChar w:fldCharType="separate"/>
            </w:r>
            <w:r w:rsidR="00DE7BFB">
              <w:rPr>
                <w:b/>
                <w:bCs/>
                <w:noProof/>
                <w:sz w:val="18"/>
                <w:szCs w:val="18"/>
              </w:rPr>
              <w:t>1</w:t>
            </w:r>
            <w:r w:rsidRPr="000269EB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D96785" w:rsidRDefault="00D9678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120F" w:rsidRDefault="0023120F" w:rsidP="00D96785">
      <w:r>
        <w:separator/>
      </w:r>
    </w:p>
  </w:footnote>
  <w:footnote w:type="continuationSeparator" w:id="0">
    <w:p w:rsidR="0023120F" w:rsidRDefault="0023120F" w:rsidP="00D967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897556"/>
    <w:multiLevelType w:val="hybridMultilevel"/>
    <w:tmpl w:val="84CE56AC"/>
    <w:lvl w:ilvl="0" w:tplc="0C070011">
      <w:start w:val="1"/>
      <w:numFmt w:val="decimal"/>
      <w:lvlText w:val="%1)"/>
      <w:lvlJc w:val="left"/>
      <w:pPr>
        <w:ind w:left="398" w:hanging="360"/>
      </w:pPr>
    </w:lvl>
    <w:lvl w:ilvl="1" w:tplc="0C070019" w:tentative="1">
      <w:start w:val="1"/>
      <w:numFmt w:val="lowerLetter"/>
      <w:lvlText w:val="%2."/>
      <w:lvlJc w:val="left"/>
      <w:pPr>
        <w:ind w:left="1118" w:hanging="360"/>
      </w:pPr>
    </w:lvl>
    <w:lvl w:ilvl="2" w:tplc="0C07001B" w:tentative="1">
      <w:start w:val="1"/>
      <w:numFmt w:val="lowerRoman"/>
      <w:lvlText w:val="%3."/>
      <w:lvlJc w:val="right"/>
      <w:pPr>
        <w:ind w:left="1838" w:hanging="180"/>
      </w:pPr>
    </w:lvl>
    <w:lvl w:ilvl="3" w:tplc="0C07000F" w:tentative="1">
      <w:start w:val="1"/>
      <w:numFmt w:val="decimal"/>
      <w:lvlText w:val="%4."/>
      <w:lvlJc w:val="left"/>
      <w:pPr>
        <w:ind w:left="2558" w:hanging="360"/>
      </w:pPr>
    </w:lvl>
    <w:lvl w:ilvl="4" w:tplc="0C070019" w:tentative="1">
      <w:start w:val="1"/>
      <w:numFmt w:val="lowerLetter"/>
      <w:lvlText w:val="%5."/>
      <w:lvlJc w:val="left"/>
      <w:pPr>
        <w:ind w:left="3278" w:hanging="360"/>
      </w:pPr>
    </w:lvl>
    <w:lvl w:ilvl="5" w:tplc="0C07001B" w:tentative="1">
      <w:start w:val="1"/>
      <w:numFmt w:val="lowerRoman"/>
      <w:lvlText w:val="%6."/>
      <w:lvlJc w:val="right"/>
      <w:pPr>
        <w:ind w:left="3998" w:hanging="180"/>
      </w:pPr>
    </w:lvl>
    <w:lvl w:ilvl="6" w:tplc="0C07000F" w:tentative="1">
      <w:start w:val="1"/>
      <w:numFmt w:val="decimal"/>
      <w:lvlText w:val="%7."/>
      <w:lvlJc w:val="left"/>
      <w:pPr>
        <w:ind w:left="4718" w:hanging="360"/>
      </w:pPr>
    </w:lvl>
    <w:lvl w:ilvl="7" w:tplc="0C070019" w:tentative="1">
      <w:start w:val="1"/>
      <w:numFmt w:val="lowerLetter"/>
      <w:lvlText w:val="%8."/>
      <w:lvlJc w:val="left"/>
      <w:pPr>
        <w:ind w:left="5438" w:hanging="360"/>
      </w:pPr>
    </w:lvl>
    <w:lvl w:ilvl="8" w:tplc="0C07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1" w15:restartNumberingAfterBreak="0">
    <w:nsid w:val="5C3F15A7"/>
    <w:multiLevelType w:val="hybridMultilevel"/>
    <w:tmpl w:val="B8E0E726"/>
    <w:lvl w:ilvl="0" w:tplc="0C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E3269C4"/>
    <w:multiLevelType w:val="hybridMultilevel"/>
    <w:tmpl w:val="8834CDB6"/>
    <w:lvl w:ilvl="0" w:tplc="0C07000F">
      <w:start w:val="1"/>
      <w:numFmt w:val="decimal"/>
      <w:lvlText w:val="%1."/>
      <w:lvlJc w:val="left"/>
      <w:pPr>
        <w:ind w:left="398" w:hanging="360"/>
      </w:pPr>
    </w:lvl>
    <w:lvl w:ilvl="1" w:tplc="0C070019" w:tentative="1">
      <w:start w:val="1"/>
      <w:numFmt w:val="lowerLetter"/>
      <w:lvlText w:val="%2."/>
      <w:lvlJc w:val="left"/>
      <w:pPr>
        <w:ind w:left="1118" w:hanging="360"/>
      </w:pPr>
    </w:lvl>
    <w:lvl w:ilvl="2" w:tplc="0C07001B" w:tentative="1">
      <w:start w:val="1"/>
      <w:numFmt w:val="lowerRoman"/>
      <w:lvlText w:val="%3."/>
      <w:lvlJc w:val="right"/>
      <w:pPr>
        <w:ind w:left="1838" w:hanging="180"/>
      </w:pPr>
    </w:lvl>
    <w:lvl w:ilvl="3" w:tplc="0C07000F" w:tentative="1">
      <w:start w:val="1"/>
      <w:numFmt w:val="decimal"/>
      <w:lvlText w:val="%4."/>
      <w:lvlJc w:val="left"/>
      <w:pPr>
        <w:ind w:left="2558" w:hanging="360"/>
      </w:pPr>
    </w:lvl>
    <w:lvl w:ilvl="4" w:tplc="0C070019" w:tentative="1">
      <w:start w:val="1"/>
      <w:numFmt w:val="lowerLetter"/>
      <w:lvlText w:val="%5."/>
      <w:lvlJc w:val="left"/>
      <w:pPr>
        <w:ind w:left="3278" w:hanging="360"/>
      </w:pPr>
    </w:lvl>
    <w:lvl w:ilvl="5" w:tplc="0C07001B" w:tentative="1">
      <w:start w:val="1"/>
      <w:numFmt w:val="lowerRoman"/>
      <w:lvlText w:val="%6."/>
      <w:lvlJc w:val="right"/>
      <w:pPr>
        <w:ind w:left="3998" w:hanging="180"/>
      </w:pPr>
    </w:lvl>
    <w:lvl w:ilvl="6" w:tplc="0C07000F" w:tentative="1">
      <w:start w:val="1"/>
      <w:numFmt w:val="decimal"/>
      <w:lvlText w:val="%7."/>
      <w:lvlJc w:val="left"/>
      <w:pPr>
        <w:ind w:left="4718" w:hanging="360"/>
      </w:pPr>
    </w:lvl>
    <w:lvl w:ilvl="7" w:tplc="0C070019" w:tentative="1">
      <w:start w:val="1"/>
      <w:numFmt w:val="lowerLetter"/>
      <w:lvlText w:val="%8."/>
      <w:lvlJc w:val="left"/>
      <w:pPr>
        <w:ind w:left="5438" w:hanging="360"/>
      </w:pPr>
    </w:lvl>
    <w:lvl w:ilvl="8" w:tplc="0C07001B" w:tentative="1">
      <w:start w:val="1"/>
      <w:numFmt w:val="lowerRoman"/>
      <w:lvlText w:val="%9."/>
      <w:lvlJc w:val="right"/>
      <w:pPr>
        <w:ind w:left="615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+EKRBcAv45aFlZdSH8NgTiAqadMc5zGTo8zf0UY//FZtr4akC0BlDjv38gFDT+4Htgnc2S4Mt7013OFDFwXZSg==" w:salt="clHQVIA4ADYTRoRdcGwYn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4FD"/>
    <w:rsid w:val="000269EB"/>
    <w:rsid w:val="00027A17"/>
    <w:rsid w:val="00035400"/>
    <w:rsid w:val="000516B9"/>
    <w:rsid w:val="00111422"/>
    <w:rsid w:val="001D34FD"/>
    <w:rsid w:val="00222C60"/>
    <w:rsid w:val="0023120F"/>
    <w:rsid w:val="002921C2"/>
    <w:rsid w:val="00594245"/>
    <w:rsid w:val="006317A6"/>
    <w:rsid w:val="006E19AC"/>
    <w:rsid w:val="00737CA2"/>
    <w:rsid w:val="0074023E"/>
    <w:rsid w:val="007B52B4"/>
    <w:rsid w:val="007E6579"/>
    <w:rsid w:val="00833006"/>
    <w:rsid w:val="0087110F"/>
    <w:rsid w:val="009F4891"/>
    <w:rsid w:val="00A33863"/>
    <w:rsid w:val="00A44435"/>
    <w:rsid w:val="00A90158"/>
    <w:rsid w:val="00B41F92"/>
    <w:rsid w:val="00D01C60"/>
    <w:rsid w:val="00D11E13"/>
    <w:rsid w:val="00D24B80"/>
    <w:rsid w:val="00D61BBA"/>
    <w:rsid w:val="00D96785"/>
    <w:rsid w:val="00DE7BFB"/>
    <w:rsid w:val="00E10501"/>
    <w:rsid w:val="00F07AA8"/>
    <w:rsid w:val="00F96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4A3B0"/>
  <w15:chartTrackingRefBased/>
  <w15:docId w15:val="{96981285-93FA-45E9-8B2B-376E5A135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6"/>
        <w:szCs w:val="26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9686F"/>
    <w:pPr>
      <w:spacing w:after="0" w:line="240" w:lineRule="auto"/>
    </w:pPr>
    <w:rPr>
      <w:rFonts w:asciiTheme="minorHAnsi" w:hAnsiTheme="minorHAnsi"/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11E1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D11E13"/>
    <w:pPr>
      <w:spacing w:after="0" w:line="240" w:lineRule="auto"/>
    </w:pPr>
    <w:rPr>
      <w:rFonts w:asciiTheme="minorHAnsi" w:hAnsiTheme="minorHAnsi"/>
      <w:sz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11E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enabsatz">
    <w:name w:val="List Paragraph"/>
    <w:basedOn w:val="Standard"/>
    <w:uiPriority w:val="34"/>
    <w:qFormat/>
    <w:rsid w:val="001D34FD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96785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96785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D9678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96785"/>
    <w:rPr>
      <w:rFonts w:asciiTheme="minorHAnsi" w:hAnsiTheme="minorHAnsi"/>
      <w:sz w:val="24"/>
    </w:rPr>
  </w:style>
  <w:style w:type="paragraph" w:styleId="Fuzeile">
    <w:name w:val="footer"/>
    <w:basedOn w:val="Standard"/>
    <w:link w:val="FuzeileZchn"/>
    <w:uiPriority w:val="99"/>
    <w:unhideWhenUsed/>
    <w:rsid w:val="00D9678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96785"/>
    <w:rPr>
      <w:rFonts w:asciiTheme="minorHAnsi" w:hAnsiTheme="minorHAnsi"/>
      <w:sz w:val="24"/>
    </w:rPr>
  </w:style>
  <w:style w:type="character" w:styleId="Hyperlink">
    <w:name w:val="Hyperlink"/>
    <w:basedOn w:val="Absatz-Standardschriftart"/>
    <w:uiPriority w:val="99"/>
    <w:unhideWhenUsed/>
    <w:rsid w:val="00A3386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21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ohnen@vorarlberg.a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Amt der Vorarlberger Landesregierung</Company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Mohr Selina</dc:creator>
  <cp:keywords/>
  <dc:description/>
  <cp:lastModifiedBy>Eienbach Sabrina</cp:lastModifiedBy>
  <cp:revision>17</cp:revision>
  <cp:lastPrinted>2023-12-01T12:18:00Z</cp:lastPrinted>
  <dcterms:created xsi:type="dcterms:W3CDTF">2023-11-29T15:24:00Z</dcterms:created>
  <dcterms:modified xsi:type="dcterms:W3CDTF">2025-01-23T12:27:00Z</dcterms:modified>
</cp:coreProperties>
</file>